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2D1F" w14:textId="77777777" w:rsidR="00CC7E23" w:rsidRDefault="00CC2C2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Poppins SemiBold" w:eastAsia="Poppins SemiBold" w:hAnsi="Poppins SemiBold" w:cs="Poppins SemiBold"/>
          <w:color w:val="2D68C4"/>
          <w:highlight w:val="white"/>
        </w:rPr>
        <w:t>Session 6: Student Progress</w:t>
      </w:r>
    </w:p>
    <w:p w14:paraId="76DFD972" w14:textId="77777777" w:rsidR="00CC7E23" w:rsidRDefault="00CC2C2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>Do Now</w:t>
      </w:r>
    </w:p>
    <w:p w14:paraId="04A5ECCB" w14:textId="77777777" w:rsidR="00CC7E23" w:rsidRDefault="00CC2C23">
      <w:pPr>
        <w:spacing w:after="200" w:line="276" w:lineRule="auto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Think of one student in your class who had a “bright spot” learning moment this week. Take a moment to jot your reflection and share a positive take-away about their learning with a partner.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CC7E23" w14:paraId="1A2C67C3" w14:textId="77777777" w:rsidTr="0082398D">
        <w:trPr>
          <w:trHeight w:hRule="exact" w:val="172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DD51" w14:textId="77777777" w:rsidR="00CC7E23" w:rsidRDefault="00CC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49556B8" w14:textId="77777777" w:rsidR="00CC7E23" w:rsidRDefault="00CC7E2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28C89959" w14:textId="77777777" w:rsidR="00CC7E23" w:rsidRDefault="00CC2C2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1: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Preparing to Analyze Student Work and </w:t>
      </w: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2: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Analyzing Student Work (30 min)</w:t>
      </w:r>
    </w:p>
    <w:p w14:paraId="32AFB690" w14:textId="77777777" w:rsidR="00CC7E23" w:rsidRDefault="00CC2C23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Gather your task, student samples, and student work analysis tools.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provides a task internalization tool where you can utilize the guiding questions from the KAS for Mathematics Assignment Review Protocol to determine what evidence of student mastery should look like.</w:t>
      </w:r>
    </w:p>
    <w:p w14:paraId="19FB73E1" w14:textId="77777777" w:rsidR="00CC7E23" w:rsidRDefault="00CC2C23" w:rsidP="00CC2C23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You may choose to utilize the following structure when collaborating with your partner to complete these steps: </w:t>
      </w:r>
    </w:p>
    <w:p w14:paraId="5E992FBD" w14:textId="77777777" w:rsidR="00CC7E23" w:rsidRDefault="00CC2C23">
      <w:pPr>
        <w:widowControl w:val="0"/>
        <w:spacing w:before="200" w:line="312" w:lineRule="auto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Analyze Partner 1 samples</w:t>
      </w:r>
    </w:p>
    <w:p w14:paraId="35C95DEC" w14:textId="77777777" w:rsidR="00CC7E23" w:rsidRDefault="00CC2C23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Partner 1 shares intended outcome and exemplar student response.</w:t>
      </w:r>
    </w:p>
    <w:p w14:paraId="0924EEAB" w14:textId="77777777" w:rsidR="00CC7E23" w:rsidRDefault="00CC2C23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examine and annotate the student work.</w:t>
      </w:r>
    </w:p>
    <w:p w14:paraId="68E4D7FB" w14:textId="77777777" w:rsidR="00CC7E23" w:rsidRDefault="00CC2C23">
      <w:pPr>
        <w:widowControl w:val="0"/>
        <w:numPr>
          <w:ilvl w:val="0"/>
          <w:numId w:val="4"/>
        </w:numPr>
        <w:spacing w:line="312" w:lineRule="auto"/>
        <w:ind w:left="2160" w:right="2430" w:hanging="27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identify evidence of strength, growth, trends, and next steps on the student work analysis form.</w:t>
      </w:r>
    </w:p>
    <w:p w14:paraId="2E3EAB6D" w14:textId="1CA3F00E" w:rsidR="00CC7E23" w:rsidRDefault="00CC2C23">
      <w:pPr>
        <w:widowControl w:val="0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Repeat for Partner 2</w:t>
      </w:r>
      <w:r>
        <w:rPr>
          <w:rFonts w:ascii="Poppins" w:eastAsia="Poppins" w:hAnsi="Poppins" w:cs="Poppins"/>
          <w:b/>
          <w:sz w:val="18"/>
          <w:szCs w:val="18"/>
        </w:rPr>
        <w:br/>
      </w:r>
    </w:p>
    <w:p w14:paraId="35433603" w14:textId="77777777" w:rsidR="00CC7E23" w:rsidRDefault="00CC2C23">
      <w:pPr>
        <w:widowControl w:val="0"/>
        <w:spacing w:line="312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Step 1</w:t>
      </w:r>
      <w:r>
        <w:rPr>
          <w:rFonts w:ascii="Poppins" w:eastAsia="Poppins" w:hAnsi="Poppins" w:cs="Poppins"/>
          <w:b/>
          <w:sz w:val="20"/>
          <w:szCs w:val="20"/>
        </w:rPr>
        <w:t xml:space="preserve"> and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Step 2</w:t>
      </w:r>
      <w:r>
        <w:rPr>
          <w:rFonts w:ascii="Poppins" w:eastAsia="Poppins" w:hAnsi="Poppins" w:cs="Poppins"/>
          <w:b/>
          <w:sz w:val="20"/>
          <w:szCs w:val="20"/>
        </w:rPr>
        <w:t xml:space="preserve"> Implications</w:t>
      </w:r>
    </w:p>
    <w:p w14:paraId="6E7BDA84" w14:textId="77777777" w:rsidR="00CC7E23" w:rsidRDefault="00CC2C23">
      <w:pPr>
        <w:spacing w:before="200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Take a moment to jot your reflections and prepare to share whole group.</w:t>
      </w:r>
    </w:p>
    <w:p w14:paraId="207AFA75" w14:textId="77777777" w:rsidR="00CC7E23" w:rsidRDefault="00CC2C23" w:rsidP="0082398D">
      <w:pPr>
        <w:widowControl w:val="0"/>
        <w:numPr>
          <w:ilvl w:val="0"/>
          <w:numId w:val="5"/>
        </w:num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Overall, what strengths and gaps did you observe in your students’ work?</w:t>
      </w:r>
    </w:p>
    <w:p w14:paraId="28E721C3" w14:textId="77777777" w:rsidR="00CC7E23" w:rsidRDefault="00CC2C23" w:rsidP="0082398D">
      <w:pPr>
        <w:widowControl w:val="0"/>
        <w:numPr>
          <w:ilvl w:val="0"/>
          <w:numId w:val="5"/>
        </w:num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Considering our content cycle look-</w:t>
      </w:r>
      <w:proofErr w:type="spellStart"/>
      <w:r>
        <w:rPr>
          <w:rFonts w:ascii="Poppins" w:eastAsia="Poppins" w:hAnsi="Poppins" w:cs="Poppins"/>
          <w:sz w:val="18"/>
          <w:szCs w:val="18"/>
        </w:rPr>
        <w:t>fors</w:t>
      </w:r>
      <w:proofErr w:type="spellEnd"/>
      <w:r>
        <w:rPr>
          <w:rFonts w:ascii="Poppins" w:eastAsia="Poppins" w:hAnsi="Poppins" w:cs="Poppins"/>
          <w:sz w:val="18"/>
          <w:szCs w:val="18"/>
        </w:rPr>
        <w:t>, how might planning and practice have contributed to the strengths and areas for growth?</w:t>
      </w:r>
    </w:p>
    <w:p w14:paraId="460705B7" w14:textId="77777777" w:rsidR="00CC7E23" w:rsidRDefault="00CC2C23" w:rsidP="0082398D">
      <w:pPr>
        <w:widowControl w:val="0"/>
        <w:numPr>
          <w:ilvl w:val="0"/>
          <w:numId w:val="5"/>
        </w:numPr>
        <w:spacing w:after="20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How can you transfer what you learned from your sub-group to the larger class?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CC7E23" w14:paraId="56304F08" w14:textId="77777777" w:rsidTr="0082398D">
        <w:trPr>
          <w:trHeight w:hRule="exact" w:val="172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0916" w14:textId="77777777" w:rsidR="00CC7E23" w:rsidRDefault="00CC7E2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1654CF09" w14:textId="77777777" w:rsidR="00CC7E23" w:rsidRDefault="00CC2C2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2"/>
          <w:szCs w:val="22"/>
        </w:rPr>
        <w:br/>
      </w: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3: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Responding to Student Work (20 min)</w:t>
      </w:r>
    </w:p>
    <w:p w14:paraId="4E9739AD" w14:textId="77777777" w:rsidR="00CC7E23" w:rsidRDefault="00CC2C23">
      <w:pPr>
        <w:spacing w:after="200" w:line="276" w:lineRule="auto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Use ideas and insights gained in the protocol to plan instructional next steps.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has planning tools you can utilize to capture different instructional strategies you want to try in order to bridge learning gaps for different subgroups of students. Consider:</w:t>
      </w:r>
    </w:p>
    <w:p w14:paraId="1A8C7E89" w14:textId="77777777" w:rsidR="00CC7E23" w:rsidRDefault="00CC2C23">
      <w:pPr>
        <w:numPr>
          <w:ilvl w:val="0"/>
          <w:numId w:val="2"/>
        </w:numPr>
        <w:spacing w:after="20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will this reteach be new and different? What specific instructional strategies will you use?</w:t>
      </w:r>
    </w:p>
    <w:p w14:paraId="1ADF1BB3" w14:textId="77777777" w:rsidR="00CC7E23" w:rsidRDefault="00CC2C23">
      <w:pPr>
        <w:numPr>
          <w:ilvl w:val="0"/>
          <w:numId w:val="2"/>
        </w:numPr>
        <w:spacing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End with a plan for re-assessment.</w:t>
      </w:r>
    </w:p>
    <w:p w14:paraId="7C3651E7" w14:textId="77777777" w:rsidR="00CC7E23" w:rsidRDefault="00CC7E23">
      <w:pPr>
        <w:rPr>
          <w:rFonts w:ascii="Poppins" w:eastAsia="Poppins" w:hAnsi="Poppins" w:cs="Poppins"/>
          <w:color w:val="25282A"/>
          <w:sz w:val="18"/>
          <w:szCs w:val="18"/>
        </w:rPr>
      </w:pPr>
    </w:p>
    <w:p w14:paraId="4AF10DBE" w14:textId="77777777" w:rsidR="00CC7E23" w:rsidRDefault="00CC7E23">
      <w:pPr>
        <w:rPr>
          <w:rFonts w:ascii="Poppins" w:eastAsia="Poppins" w:hAnsi="Poppins" w:cs="Poppins"/>
          <w:color w:val="25282A"/>
          <w:sz w:val="18"/>
          <w:szCs w:val="18"/>
        </w:rPr>
      </w:pPr>
    </w:p>
    <w:p w14:paraId="1CA9118F" w14:textId="77777777" w:rsidR="00CC7E23" w:rsidRDefault="00CC2C23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i/>
          <w:color w:val="25282A"/>
          <w:sz w:val="20"/>
          <w:szCs w:val="20"/>
          <w:u w:val="single"/>
        </w:rPr>
      </w:pPr>
      <w:r>
        <w:rPr>
          <w:rFonts w:ascii="Poppins" w:eastAsia="Poppins" w:hAnsi="Poppins" w:cs="Poppins"/>
          <w:b/>
          <w:i/>
          <w:color w:val="25282A"/>
          <w:sz w:val="20"/>
          <w:szCs w:val="20"/>
          <w:u w:val="single"/>
        </w:rPr>
        <w:t>Topic 1 Closing Reflection</w:t>
      </w:r>
    </w:p>
    <w:p w14:paraId="1D136521" w14:textId="77777777" w:rsidR="00CC7E23" w:rsidRDefault="00CC2C23">
      <w:pPr>
        <w:spacing w:after="200"/>
        <w:rPr>
          <w:rFonts w:ascii="Poppins" w:eastAsia="Poppins" w:hAnsi="Poppins" w:cs="Poppins"/>
          <w:color w:val="25282A"/>
          <w:sz w:val="16"/>
          <w:szCs w:val="16"/>
        </w:rPr>
      </w:pPr>
      <w:r>
        <w:rPr>
          <w:rFonts w:ascii="Poppins" w:eastAsia="Poppins" w:hAnsi="Poppins" w:cs="Poppins"/>
          <w:i/>
          <w:sz w:val="16"/>
          <w:szCs w:val="16"/>
          <w:highlight w:val="white"/>
        </w:rPr>
        <w:t>Facilitators may choose to collect this page as an artifact for individual coaching sessions.</w:t>
      </w:r>
    </w:p>
    <w:p w14:paraId="0C1B7616" w14:textId="77777777" w:rsidR="00CC7E23" w:rsidRDefault="00CC2C23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Jot your reflections.</w:t>
      </w:r>
    </w:p>
    <w:p w14:paraId="148DEE54" w14:textId="77777777" w:rsidR="00CC7E23" w:rsidRDefault="00CC2C23">
      <w:pPr>
        <w:widowControl w:val="0"/>
        <w:numPr>
          <w:ilvl w:val="0"/>
          <w:numId w:val="1"/>
        </w:numPr>
        <w:spacing w:before="80"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How has your learning and planning impacted student achievement? </w:t>
      </w:r>
    </w:p>
    <w:p w14:paraId="23FCD92B" w14:textId="77777777" w:rsidR="00CC7E23" w:rsidRDefault="00CC2C23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Considering the focus of this content cycle, how can we refine our planning and instruction to continue supporting student progress toward the overall intended learning?</w:t>
      </w:r>
    </w:p>
    <w:p w14:paraId="3624197E" w14:textId="77777777" w:rsidR="00CC7E23" w:rsidRDefault="00CC2C23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In what ways can we leverage our teams to support the diverse needs of our students? </w:t>
      </w:r>
      <w:r>
        <w:rPr>
          <w:rFonts w:ascii="Poppins" w:eastAsia="Poppins" w:hAnsi="Poppins" w:cs="Poppins"/>
          <w:sz w:val="18"/>
          <w:szCs w:val="18"/>
        </w:rPr>
        <w:t>What practices might you adopt from other teachers’ plans?</w:t>
      </w:r>
    </w:p>
    <w:p w14:paraId="21F2CC92" w14:textId="77777777" w:rsidR="00CC7E23" w:rsidRDefault="00CC2C23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What other support do you need to continue to refine your practice in this area?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CC7E23" w14:paraId="34C6EB0C" w14:textId="77777777" w:rsidTr="00CC2C23">
        <w:trPr>
          <w:trHeight w:val="4569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AFB0" w14:textId="77777777" w:rsidR="00CC7E23" w:rsidRDefault="00CC7E2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4E340BCB" w14:textId="77777777" w:rsidR="00CC7E23" w:rsidRDefault="00CC7E2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sectPr w:rsidR="00CC7E2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38FC" w14:textId="77777777" w:rsidR="003E2FF4" w:rsidRDefault="00CC2C23">
      <w:r>
        <w:separator/>
      </w:r>
    </w:p>
  </w:endnote>
  <w:endnote w:type="continuationSeparator" w:id="0">
    <w:p w14:paraId="63B2C8D2" w14:textId="77777777" w:rsidR="003E2FF4" w:rsidRDefault="00CC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069D" w14:textId="77777777" w:rsidR="00CC7E23" w:rsidRDefault="00CC7E23">
    <w:pPr>
      <w:rPr>
        <w:rFonts w:ascii="Poppins" w:eastAsia="Poppins" w:hAnsi="Poppins" w:cs="Poppins"/>
        <w:color w:val="25282A"/>
        <w:sz w:val="18"/>
        <w:szCs w:val="18"/>
      </w:rPr>
    </w:pPr>
  </w:p>
  <w:p w14:paraId="1DC171F4" w14:textId="77777777" w:rsidR="00CC7E23" w:rsidRDefault="00CC2C23">
    <w:pPr>
      <w:rPr>
        <w:rFonts w:ascii="Poppins" w:eastAsia="Poppins" w:hAnsi="Poppins" w:cs="Poppins"/>
        <w:sz w:val="18"/>
        <w:szCs w:val="18"/>
      </w:rPr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090D67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205E" w14:textId="77777777" w:rsidR="00CC7E23" w:rsidRDefault="00CC2C23">
    <w:pPr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25282A"/>
        <w:sz w:val="20"/>
        <w:szCs w:val="20"/>
      </w:rPr>
      <w:t>© Leading Educators 2019</w:t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  <w:t xml:space="preserve">       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3BD2" w14:textId="77777777" w:rsidR="003E2FF4" w:rsidRDefault="00CC2C23">
      <w:r>
        <w:separator/>
      </w:r>
    </w:p>
  </w:footnote>
  <w:footnote w:type="continuationSeparator" w:id="0">
    <w:p w14:paraId="5085BF70" w14:textId="77777777" w:rsidR="003E2FF4" w:rsidRDefault="00CC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706B" w14:textId="062177C4" w:rsidR="00CC7E23" w:rsidRDefault="002A6282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4F7FC8" wp14:editId="3A922E7F">
          <wp:simplePos x="0" y="0"/>
          <wp:positionH relativeFrom="column">
            <wp:posOffset>932180</wp:posOffset>
          </wp:positionH>
          <wp:positionV relativeFrom="paragraph">
            <wp:posOffset>-90805</wp:posOffset>
          </wp:positionV>
          <wp:extent cx="1319213" cy="571500"/>
          <wp:effectExtent l="0" t="0" r="0" b="0"/>
          <wp:wrapSquare wrapText="bothSides" distT="0" distB="0" distL="114300" distR="114300"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2C23">
      <w:rPr>
        <w:rFonts w:ascii="Poppins SemiBold" w:eastAsia="Poppins SemiBold" w:hAnsi="Poppins SemiBold" w:cs="Poppins SemiBold"/>
        <w:color w:val="2D68C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0288" behindDoc="0" locked="0" layoutInCell="1" allowOverlap="1" wp14:anchorId="27D9AA4A" wp14:editId="0CB1C835">
          <wp:simplePos x="0" y="0"/>
          <wp:positionH relativeFrom="margin">
            <wp:posOffset>-68580</wp:posOffset>
          </wp:positionH>
          <wp:positionV relativeFrom="margin">
            <wp:posOffset>-847090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76E4B" w14:textId="77777777" w:rsidR="00CC7E23" w:rsidRDefault="00CC2C23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" w:eastAsia="Poppins" w:hAnsi="Poppins" w:cs="Poppins"/>
        <w:b/>
        <w:color w:val="2D68C4"/>
        <w:highlight w:val="white"/>
        <w:u w:val="single"/>
      </w:rPr>
      <w:t>Topic 2</w:t>
    </w:r>
    <w:r>
      <w:rPr>
        <w:rFonts w:ascii="Poppins SemiBold" w:eastAsia="Poppins SemiBold" w:hAnsi="Poppins SemiBold" w:cs="Poppins SemiBold"/>
        <w:color w:val="2D68C4"/>
        <w:highlight w:val="white"/>
      </w:rPr>
      <w:t>: Focusing on SMP 1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</w:p>
  <w:p w14:paraId="44AF20A4" w14:textId="77777777" w:rsidR="00CC7E23" w:rsidRDefault="00CC7E23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70F4" w14:textId="1829CF7D" w:rsidR="00CC7E23" w:rsidRDefault="00CC2C23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KDE BCML: Introduction to the </w:t>
    </w:r>
  </w:p>
  <w:p w14:paraId="6C2317B4" w14:textId="77777777" w:rsidR="00CC7E23" w:rsidRDefault="00CC2C23">
    <w:pPr>
      <w:ind w:left="2340"/>
      <w:jc w:val="right"/>
      <w:rPr>
        <w:rFonts w:ascii="Times New Roman" w:eastAsia="Times New Roman" w:hAnsi="Times New Roman" w:cs="Times New Roman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  <w:r>
      <w:rPr>
        <w:rFonts w:ascii="Arial" w:eastAsia="Arial" w:hAnsi="Arial" w:cs="Arial"/>
        <w:sz w:val="22"/>
        <w:szCs w:val="22"/>
      </w:rPr>
      <w:t xml:space="preserve"> </w:t>
    </w:r>
  </w:p>
  <w:p w14:paraId="19515725" w14:textId="77777777" w:rsidR="00CC7E23" w:rsidRDefault="00CC7E23">
    <w:pPr>
      <w:ind w:left="9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7B2"/>
    <w:multiLevelType w:val="multilevel"/>
    <w:tmpl w:val="EF5AD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5B496E"/>
    <w:multiLevelType w:val="multilevel"/>
    <w:tmpl w:val="A852B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25534B"/>
    <w:multiLevelType w:val="multilevel"/>
    <w:tmpl w:val="4838000A"/>
    <w:lvl w:ilvl="0">
      <w:start w:val="1"/>
      <w:numFmt w:val="bullet"/>
      <w:lvlText w:val="○"/>
      <w:lvlJc w:val="left"/>
      <w:pPr>
        <w:ind w:left="14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59D5E0E"/>
    <w:multiLevelType w:val="multilevel"/>
    <w:tmpl w:val="0658D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FF042F"/>
    <w:multiLevelType w:val="multilevel"/>
    <w:tmpl w:val="48A42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23"/>
    <w:rsid w:val="00090D67"/>
    <w:rsid w:val="002A6282"/>
    <w:rsid w:val="003E2FF4"/>
    <w:rsid w:val="007200D9"/>
    <w:rsid w:val="0082398D"/>
    <w:rsid w:val="00CC2C23"/>
    <w:rsid w:val="00C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4DA405"/>
  <w15:docId w15:val="{A30EDECA-8C69-4EFE-B394-BF70008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82"/>
  </w:style>
  <w:style w:type="paragraph" w:styleId="Footer">
    <w:name w:val="footer"/>
    <w:basedOn w:val="Normal"/>
    <w:link w:val="FooterChar"/>
    <w:uiPriority w:val="99"/>
    <w:unhideWhenUsed/>
    <w:rsid w:val="002A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KYED-536-967</_dlc_DocId>
    <_dlc_DocIdUrl xmlns="3a62de7d-ba57-4f43-9dae-9623ba637be0">
      <Url>https://www.education.ky.gov/curriculum/standards/kyacadstand/_layouts/15/DocIdRedir.aspx?ID=KYED-536-967</Url>
      <Description>KYED-536-967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EFA076-CB37-4988-BD91-A6611F9A189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621773ed-55dc-4476-af5e-5bf4e5742684"/>
    <ds:schemaRef ds:uri="http://schemas.microsoft.com/office/infopath/2007/PartnerControls"/>
    <ds:schemaRef ds:uri="12423c08-2846-40b6-adb1-6ff477af9c4c"/>
  </ds:schemaRefs>
</ds:datastoreItem>
</file>

<file path=customXml/itemProps2.xml><?xml version="1.0" encoding="utf-8"?>
<ds:datastoreItem xmlns:ds="http://schemas.openxmlformats.org/officeDocument/2006/customXml" ds:itemID="{97C1880F-A952-4213-98F9-4472888C8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3D28-C989-44A8-9C6C-446CD6B3706D}"/>
</file>

<file path=customXml/itemProps4.xml><?xml version="1.0" encoding="utf-8"?>
<ds:datastoreItem xmlns:ds="http://schemas.openxmlformats.org/officeDocument/2006/customXml" ds:itemID="{8CAB1185-7492-4EF6-BA9A-24B59F6FD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2020-07-20T16:06:00Z</dcterms:created>
  <dcterms:modified xsi:type="dcterms:W3CDTF">2020-07-27T16:22:00Z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61e7ea80-5fee-48d0-afb3-677682280415</vt:lpwstr>
  </property>
</Properties>
</file>