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BCBE6A" w14:textId="77777777" w:rsidR="00D50635" w:rsidRDefault="006B51E6">
      <w:pPr>
        <w:spacing w:after="200" w:line="240" w:lineRule="auto"/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</w:pPr>
      <w:r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  <w:t>Session 6: Student Progress</w:t>
      </w:r>
    </w:p>
    <w:p w14:paraId="72E1BF0C" w14:textId="77777777" w:rsidR="00D50635" w:rsidRDefault="006B51E6">
      <w:pPr>
        <w:rPr>
          <w:rFonts w:ascii="Poppins" w:eastAsia="Poppins" w:hAnsi="Poppins" w:cs="Poppins"/>
          <w:i/>
          <w:sz w:val="18"/>
          <w:szCs w:val="18"/>
        </w:rPr>
      </w:pPr>
      <w:r>
        <w:rPr>
          <w:rFonts w:ascii="Poppins" w:eastAsia="Poppins" w:hAnsi="Poppins" w:cs="Poppins"/>
          <w:i/>
          <w:sz w:val="18"/>
          <w:szCs w:val="18"/>
        </w:rPr>
        <w:t>This tool draws from the KAS for Mathematics Assessment Review Protocol. Teachers may choose to utilize other instructional rubrics or protocols during this session.</w:t>
      </w:r>
    </w:p>
    <w:p w14:paraId="596B27B1" w14:textId="77777777" w:rsidR="00D50635" w:rsidRDefault="00D5063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02"/>
        <w:gridCol w:w="3644"/>
        <w:gridCol w:w="3644"/>
      </w:tblGrid>
      <w:tr w:rsidR="00D50635" w14:paraId="3EAE8629" w14:textId="77777777" w:rsidTr="00652F59">
        <w:trPr>
          <w:trHeight w:val="400"/>
        </w:trPr>
        <w:tc>
          <w:tcPr>
            <w:tcW w:w="10888" w:type="dxa"/>
            <w:gridSpan w:val="3"/>
            <w:shd w:val="clear" w:color="auto" w:fill="146C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EA6B6" w14:textId="77777777" w:rsidR="00D50635" w:rsidRDefault="006B51E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 xml:space="preserve">Preparing to Analyze Student Work </w:t>
            </w:r>
          </w:p>
        </w:tc>
      </w:tr>
      <w:tr w:rsidR="00D50635" w14:paraId="499F1DAA" w14:textId="77777777" w:rsidTr="00652F59">
        <w:trPr>
          <w:trHeight w:val="400"/>
        </w:trPr>
        <w:tc>
          <w:tcPr>
            <w:tcW w:w="10888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980E" w14:textId="77777777" w:rsidR="00D50635" w:rsidRDefault="006B51E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Standard(s):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Does the task focus on one or more grade-appropriate mathematics standards?</w:t>
            </w:r>
          </w:p>
        </w:tc>
      </w:tr>
      <w:tr w:rsidR="00D50635" w14:paraId="349E7BFA" w14:textId="77777777" w:rsidTr="00652F59">
        <w:trPr>
          <w:trHeight w:val="400"/>
        </w:trPr>
        <w:tc>
          <w:tcPr>
            <w:tcW w:w="108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CEA8" w14:textId="77777777" w:rsidR="00D50635" w:rsidRDefault="006B51E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What standard(s) does this task address? </w:t>
            </w:r>
          </w:p>
          <w:p w14:paraId="0FA20350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565C657" w14:textId="7B8D4C16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6ACF408" w14:textId="641AC37A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1CA00CD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C76CCE0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50635" w14:paraId="07E74676" w14:textId="77777777" w:rsidTr="00652F59">
        <w:tc>
          <w:tcPr>
            <w:tcW w:w="1088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EE0D" w14:textId="77777777" w:rsidR="00D50635" w:rsidRDefault="006B51E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Do the math: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Solve the task by creating</w:t>
            </w:r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at least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2 different exemplar student responses.</w:t>
            </w:r>
          </w:p>
        </w:tc>
      </w:tr>
      <w:tr w:rsidR="00D50635" w14:paraId="23436528" w14:textId="77777777" w:rsidTr="006B51E6">
        <w:trPr>
          <w:trHeight w:val="6873"/>
        </w:trPr>
        <w:tc>
          <w:tcPr>
            <w:tcW w:w="7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D942" w14:textId="77777777" w:rsidR="00D50635" w:rsidRDefault="006B51E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Work Space</w:t>
            </w:r>
            <w:proofErr w:type="gramEnd"/>
          </w:p>
          <w:p w14:paraId="2649A241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1E252F4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2955574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5FBEB88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C877036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2E89D1C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0E01EAE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105B515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3009F20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9E566D1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0A63D36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4871FEE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D01A3E9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F30E7C0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D24D70A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429731B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F823991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CCECEBB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E083FD3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FDD24E6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B756128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0A1F386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6F9D57A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E4D1164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9C34397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8556936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CF2053D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7866F67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5E645C6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2CAE6C5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B7AF7A9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5B76C6B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C30E3ED" w14:textId="77777777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EE0A2BD" w14:textId="48C72DB2" w:rsidR="00913FC1" w:rsidRDefault="00913F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E5C2" w14:textId="77777777" w:rsidR="00D50635" w:rsidRDefault="006B51E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Predict incorrect solution strategies (e.g., misconceptions, procedural errors). How will you proactively address these misconceptions?</w:t>
            </w:r>
          </w:p>
          <w:p w14:paraId="04AE06B1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50635" w14:paraId="063778F3" w14:textId="77777777" w:rsidTr="00652F59">
        <w:trPr>
          <w:trHeight w:val="400"/>
        </w:trPr>
        <w:tc>
          <w:tcPr>
            <w:tcW w:w="1088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C737D" w14:textId="77777777" w:rsidR="00D50635" w:rsidRDefault="006B51E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lastRenderedPageBreak/>
              <w:t xml:space="preserve">Keys to Mastery: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How are the targets of the standard addressed in this task?</w:t>
            </w:r>
          </w:p>
        </w:tc>
      </w:tr>
      <w:tr w:rsidR="00D50635" w14:paraId="5C0C71E2" w14:textId="77777777" w:rsidTr="00652F59">
        <w:trPr>
          <w:trHeight w:val="4290"/>
        </w:trPr>
        <w:tc>
          <w:tcPr>
            <w:tcW w:w="3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C38B" w14:textId="4AF66314" w:rsidR="00D50635" w:rsidRDefault="006B51E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Conceptual Understanding</w:t>
            </w:r>
          </w:p>
          <w:p w14:paraId="258566FE" w14:textId="78C3FA5D" w:rsidR="00D50635" w:rsidRDefault="006B51E6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If the target of the standard is building conceptual understanding, what do students have to</w:t>
            </w:r>
            <w:r>
              <w:rPr>
                <w:rFonts w:ascii="Poppins" w:eastAsia="Poppins" w:hAnsi="Poppins" w:cs="Poppins"/>
                <w:b/>
                <w:sz w:val="18"/>
                <w:szCs w:val="18"/>
                <w:u w:val="single"/>
              </w:rPr>
              <w:t xml:space="preserve"> know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in order to demonstrate mastery on this task? </w:t>
            </w:r>
          </w:p>
          <w:p w14:paraId="09CCDA4B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12DF35AF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181B242A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64470B77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148FB484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680CEF16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159A" w14:textId="4A645084" w:rsidR="00D50635" w:rsidRDefault="006B51E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Procedural Skill/Fluency</w:t>
            </w:r>
          </w:p>
          <w:p w14:paraId="6972A363" w14:textId="38573D00" w:rsidR="00D50635" w:rsidRDefault="006B51E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If the target of the standard is procedural skill/fluency, what do students have to be able to do/</w:t>
            </w:r>
            <w:r>
              <w:rPr>
                <w:rFonts w:ascii="Poppins" w:eastAsia="Poppins" w:hAnsi="Poppins" w:cs="Poppins"/>
                <w:b/>
                <w:sz w:val="18"/>
                <w:szCs w:val="18"/>
                <w:u w:val="single"/>
              </w:rPr>
              <w:t>show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in order to demonstrate mastery on this task? How are students asked to connect procedures back to underlying conceptual ideas?</w:t>
            </w:r>
          </w:p>
          <w:p w14:paraId="6DF30320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ECBCDA0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B9C354A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2B51A46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8BDA05B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DBDB45B" w14:textId="77777777" w:rsidR="00D50635" w:rsidRDefault="00D506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C3D4" w14:textId="77777777" w:rsidR="00D50635" w:rsidRDefault="006B51E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Application</w:t>
            </w:r>
          </w:p>
          <w:p w14:paraId="11B15B68" w14:textId="4AE4C5DD" w:rsidR="00D50635" w:rsidRDefault="006B51E6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If the target of the standard is application, what opportunities exist for students to apply their learning to solve problems in a relevant and meaningful way?</w:t>
            </w:r>
          </w:p>
        </w:tc>
      </w:tr>
    </w:tbl>
    <w:p w14:paraId="6479C16B" w14:textId="77777777" w:rsidR="00D50635" w:rsidRDefault="00D50635">
      <w:pPr>
        <w:spacing w:line="240" w:lineRule="auto"/>
        <w:rPr>
          <w:rFonts w:ascii="Calibri" w:eastAsia="Calibri" w:hAnsi="Calibri" w:cs="Calibri"/>
          <w:b/>
          <w:i/>
        </w:rPr>
      </w:pPr>
    </w:p>
    <w:tbl>
      <w:tblPr>
        <w:tblStyle w:val="a0"/>
        <w:tblW w:w="10905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35"/>
        <w:gridCol w:w="1605"/>
        <w:gridCol w:w="3615"/>
        <w:gridCol w:w="3750"/>
      </w:tblGrid>
      <w:tr w:rsidR="00D50635" w14:paraId="05B7AA3D" w14:textId="77777777" w:rsidTr="00652F59">
        <w:tc>
          <w:tcPr>
            <w:tcW w:w="10905" w:type="dxa"/>
            <w:gridSpan w:val="4"/>
            <w:shd w:val="clear" w:color="auto" w:fill="146C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094D" w14:textId="77777777" w:rsidR="00D50635" w:rsidRDefault="006B51E6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Analyzing Student Work</w:t>
            </w:r>
          </w:p>
        </w:tc>
      </w:tr>
      <w:tr w:rsidR="00D50635" w14:paraId="5E849344" w14:textId="77777777" w:rsidTr="00652F59">
        <w:trPr>
          <w:trHeight w:val="1760"/>
        </w:trPr>
        <w:tc>
          <w:tcPr>
            <w:tcW w:w="1935" w:type="dxa"/>
            <w:shd w:val="clear" w:color="auto" w:fill="D9D9D9"/>
          </w:tcPr>
          <w:p w14:paraId="720AA2C6" w14:textId="77777777" w:rsidR="00D50635" w:rsidRDefault="006B51E6">
            <w:pPr>
              <w:spacing w:before="200"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Student Name</w:t>
            </w:r>
          </w:p>
        </w:tc>
        <w:tc>
          <w:tcPr>
            <w:tcW w:w="1605" w:type="dxa"/>
            <w:shd w:val="clear" w:color="auto" w:fill="D9D9D9"/>
          </w:tcPr>
          <w:p w14:paraId="1D13841D" w14:textId="77777777" w:rsidR="00D50635" w:rsidRDefault="006B51E6">
            <w:pPr>
              <w:spacing w:before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Mastery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(M)</w:t>
            </w:r>
          </w:p>
          <w:p w14:paraId="10BFFB85" w14:textId="77777777" w:rsidR="00D50635" w:rsidRDefault="006B51E6">
            <w:pPr>
              <w:spacing w:before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Partial </w:t>
            </w:r>
            <w:r>
              <w:rPr>
                <w:rFonts w:ascii="Poppins" w:eastAsia="Poppins" w:hAnsi="Poppins" w:cs="Poppins"/>
                <w:b/>
                <w:sz w:val="18"/>
                <w:szCs w:val="18"/>
              </w:rPr>
              <w:br/>
              <w:t xml:space="preserve">Mastery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(P)</w:t>
            </w:r>
          </w:p>
          <w:p w14:paraId="3020CC86" w14:textId="77777777" w:rsidR="00D50635" w:rsidRDefault="006B51E6">
            <w:pPr>
              <w:spacing w:before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No Mastery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(N)</w:t>
            </w:r>
          </w:p>
        </w:tc>
        <w:tc>
          <w:tcPr>
            <w:tcW w:w="3615" w:type="dxa"/>
            <w:shd w:val="clear" w:color="auto" w:fill="D9D9D9"/>
          </w:tcPr>
          <w:p w14:paraId="7552F4C9" w14:textId="77777777" w:rsidR="00D50635" w:rsidRDefault="006B51E6">
            <w:pPr>
              <w:spacing w:before="200"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Evidence of Strengths</w:t>
            </w:r>
          </w:p>
          <w:p w14:paraId="0A85C77F" w14:textId="77777777" w:rsidR="00D50635" w:rsidRDefault="006B51E6">
            <w:pPr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What is the evidence of mastery? Did students reach the target of the standard (conceptual understanding, procedural skill, and/or application)? If so, how?</w:t>
            </w:r>
          </w:p>
          <w:p w14:paraId="49430C02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D9D9D9"/>
          </w:tcPr>
          <w:p w14:paraId="2C307D66" w14:textId="77777777" w:rsidR="00D50635" w:rsidRDefault="006B51E6">
            <w:pPr>
              <w:spacing w:before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Evidence of Opportunities for Growth</w:t>
            </w:r>
          </w:p>
          <w:p w14:paraId="5B476F45" w14:textId="77777777" w:rsidR="00D50635" w:rsidRDefault="006B51E6">
            <w:pPr>
              <w:numPr>
                <w:ilvl w:val="0"/>
                <w:numId w:val="1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Which expectations of the standard (conceptual understanding, procedural skill, and/or application) do students need additional support with?</w:t>
            </w:r>
          </w:p>
        </w:tc>
      </w:tr>
      <w:tr w:rsidR="00D50635" w14:paraId="387C069B" w14:textId="77777777" w:rsidTr="00652F59">
        <w:trPr>
          <w:trHeight w:val="1640"/>
        </w:trPr>
        <w:tc>
          <w:tcPr>
            <w:tcW w:w="1935" w:type="dxa"/>
          </w:tcPr>
          <w:p w14:paraId="1F127272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21BD319E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722548B2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1B62CDC0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D50635" w14:paraId="7810E340" w14:textId="77777777" w:rsidTr="00652F59">
        <w:trPr>
          <w:trHeight w:val="1640"/>
        </w:trPr>
        <w:tc>
          <w:tcPr>
            <w:tcW w:w="1935" w:type="dxa"/>
          </w:tcPr>
          <w:p w14:paraId="09164992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371110AD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24B97DE3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7B1F3A6A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D50635" w14:paraId="2DF3433D" w14:textId="77777777" w:rsidTr="00652F59">
        <w:trPr>
          <w:trHeight w:val="1640"/>
        </w:trPr>
        <w:tc>
          <w:tcPr>
            <w:tcW w:w="1935" w:type="dxa"/>
          </w:tcPr>
          <w:p w14:paraId="3AEAFA13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63886D10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03CCE791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66DC569A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D50635" w14:paraId="4C48E7CD" w14:textId="77777777" w:rsidTr="00652F59">
        <w:trPr>
          <w:trHeight w:val="1640"/>
        </w:trPr>
        <w:tc>
          <w:tcPr>
            <w:tcW w:w="1935" w:type="dxa"/>
          </w:tcPr>
          <w:p w14:paraId="68674736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5D23CA77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411B2DFE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4AC03F4A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D50635" w14:paraId="240FDE34" w14:textId="77777777" w:rsidTr="00652F59">
        <w:trPr>
          <w:trHeight w:val="1640"/>
        </w:trPr>
        <w:tc>
          <w:tcPr>
            <w:tcW w:w="1935" w:type="dxa"/>
          </w:tcPr>
          <w:p w14:paraId="23F18F39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051038D4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5A60DC8E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50FA0EA0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D50635" w14:paraId="4613EA5D" w14:textId="77777777" w:rsidTr="00652F59">
        <w:trPr>
          <w:trHeight w:val="1640"/>
        </w:trPr>
        <w:tc>
          <w:tcPr>
            <w:tcW w:w="1935" w:type="dxa"/>
          </w:tcPr>
          <w:p w14:paraId="0FCC2EB6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2728A9FA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5E0D9597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4A309D6B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6B51E6" w14:paraId="0B340782" w14:textId="77777777" w:rsidTr="00652F59">
        <w:trPr>
          <w:trHeight w:val="1640"/>
        </w:trPr>
        <w:tc>
          <w:tcPr>
            <w:tcW w:w="1935" w:type="dxa"/>
          </w:tcPr>
          <w:p w14:paraId="5E02AD27" w14:textId="77777777" w:rsidR="006B51E6" w:rsidRDefault="006B51E6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27B98CCF" w14:textId="77777777" w:rsidR="006B51E6" w:rsidRDefault="006B51E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145B9A4C" w14:textId="77777777" w:rsidR="006B51E6" w:rsidRDefault="006B51E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193B18D3" w14:textId="77777777" w:rsidR="006B51E6" w:rsidRDefault="006B51E6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6B51E6" w14:paraId="516C6BD4" w14:textId="77777777" w:rsidTr="00652F59">
        <w:trPr>
          <w:trHeight w:val="1640"/>
        </w:trPr>
        <w:tc>
          <w:tcPr>
            <w:tcW w:w="1935" w:type="dxa"/>
          </w:tcPr>
          <w:p w14:paraId="6610CA2F" w14:textId="77777777" w:rsidR="006B51E6" w:rsidRDefault="006B51E6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2D29639D" w14:textId="77777777" w:rsidR="006B51E6" w:rsidRDefault="006B51E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27DF3F26" w14:textId="77777777" w:rsidR="006B51E6" w:rsidRDefault="006B51E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3A8668BA" w14:textId="77777777" w:rsidR="006B51E6" w:rsidRDefault="006B51E6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6B51E6" w14:paraId="192B9A29" w14:textId="77777777" w:rsidTr="00652F59">
        <w:trPr>
          <w:trHeight w:val="1640"/>
        </w:trPr>
        <w:tc>
          <w:tcPr>
            <w:tcW w:w="1935" w:type="dxa"/>
          </w:tcPr>
          <w:p w14:paraId="47719010" w14:textId="77777777" w:rsidR="006B51E6" w:rsidRDefault="006B51E6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6AB08CCD" w14:textId="77777777" w:rsidR="006B51E6" w:rsidRDefault="006B51E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12169042" w14:textId="77777777" w:rsidR="006B51E6" w:rsidRDefault="006B51E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06A8EA27" w14:textId="77777777" w:rsidR="006B51E6" w:rsidRDefault="006B51E6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</w:tbl>
    <w:p w14:paraId="0512B91F" w14:textId="77777777" w:rsidR="00D50635" w:rsidRDefault="00D50635">
      <w:pPr>
        <w:spacing w:line="240" w:lineRule="auto"/>
      </w:pPr>
    </w:p>
    <w:tbl>
      <w:tblPr>
        <w:tblStyle w:val="a1"/>
        <w:tblW w:w="1087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445"/>
        <w:gridCol w:w="2760"/>
        <w:gridCol w:w="2760"/>
        <w:gridCol w:w="2910"/>
      </w:tblGrid>
      <w:tr w:rsidR="00D50635" w14:paraId="585B6281" w14:textId="77777777" w:rsidTr="00652F59">
        <w:tc>
          <w:tcPr>
            <w:tcW w:w="10875" w:type="dxa"/>
            <w:gridSpan w:val="4"/>
            <w:shd w:val="clear" w:color="auto" w:fill="146C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8ABE" w14:textId="77777777" w:rsidR="00D50635" w:rsidRDefault="006B51E6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Step 3. Respond to Student Work by Adjusting Instructional Practice</w:t>
            </w:r>
          </w:p>
        </w:tc>
      </w:tr>
      <w:tr w:rsidR="00D50635" w14:paraId="793584B7" w14:textId="77777777" w:rsidTr="006B51E6">
        <w:trPr>
          <w:trHeight w:val="1358"/>
        </w:trPr>
        <w:tc>
          <w:tcPr>
            <w:tcW w:w="2445" w:type="dxa"/>
          </w:tcPr>
          <w:p w14:paraId="44DED3A4" w14:textId="77777777" w:rsidR="00D50635" w:rsidRDefault="006B51E6">
            <w:pPr>
              <w:spacing w:before="20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Standard(s): </w:t>
            </w:r>
          </w:p>
          <w:p w14:paraId="336A202F" w14:textId="77777777" w:rsidR="00D50635" w:rsidRDefault="00D50635">
            <w:pPr>
              <w:widowControl w:val="0"/>
              <w:spacing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8430" w:type="dxa"/>
            <w:gridSpan w:val="3"/>
          </w:tcPr>
          <w:p w14:paraId="09616A3E" w14:textId="77777777" w:rsidR="00D50635" w:rsidRDefault="006B51E6">
            <w:pPr>
              <w:widowControl w:val="0"/>
              <w:spacing w:before="20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Re-teach Learning Objective: </w:t>
            </w:r>
          </w:p>
        </w:tc>
      </w:tr>
      <w:tr w:rsidR="00D50635" w14:paraId="2B5D38D6" w14:textId="77777777" w:rsidTr="00652F59">
        <w:trPr>
          <w:trHeight w:val="1220"/>
        </w:trPr>
        <w:tc>
          <w:tcPr>
            <w:tcW w:w="5205" w:type="dxa"/>
            <w:gridSpan w:val="2"/>
            <w:shd w:val="clear" w:color="auto" w:fill="146CC2"/>
          </w:tcPr>
          <w:p w14:paraId="15316987" w14:textId="77777777" w:rsidR="00D50635" w:rsidRDefault="006B51E6">
            <w:pPr>
              <w:spacing w:before="200" w:line="240" w:lineRule="auto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lastRenderedPageBreak/>
              <w:t xml:space="preserve">Actions: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 xml:space="preserve">Compared to the first time this was taught, what is new and different about this approach?  Be specific and include </w:t>
            </w:r>
            <w:proofErr w:type="gramStart"/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method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resources 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(e.g. bar models, small groups, fluency activities, base ten blocks)</w:t>
            </w:r>
          </w:p>
        </w:tc>
        <w:tc>
          <w:tcPr>
            <w:tcW w:w="2760" w:type="dxa"/>
            <w:shd w:val="clear" w:color="auto" w:fill="146CC2"/>
          </w:tcPr>
          <w:p w14:paraId="23AA1C10" w14:textId="77777777" w:rsidR="00D50635" w:rsidRDefault="006B51E6">
            <w:pPr>
              <w:spacing w:before="200" w:line="240" w:lineRule="auto"/>
              <w:rPr>
                <w:rFonts w:ascii="Poppins" w:eastAsia="Poppins" w:hAnsi="Poppins" w:cs="Poppins"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Who</w:t>
            </w:r>
            <w:proofErr w:type="gramStart"/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: 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(</w:t>
            </w:r>
            <w:proofErr w:type="gramEnd"/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Whole group, Small group, Strategic Pairs,  Individual, Other)</w:t>
            </w:r>
          </w:p>
        </w:tc>
        <w:tc>
          <w:tcPr>
            <w:tcW w:w="2910" w:type="dxa"/>
            <w:shd w:val="clear" w:color="auto" w:fill="146CC2"/>
          </w:tcPr>
          <w:p w14:paraId="5003583F" w14:textId="77777777" w:rsidR="00D50635" w:rsidRDefault="006B51E6">
            <w:pPr>
              <w:spacing w:before="200" w:line="240" w:lineRule="auto"/>
              <w:jc w:val="center"/>
              <w:rPr>
                <w:rFonts w:ascii="Poppins" w:eastAsia="Poppins" w:hAnsi="Poppins" w:cs="Poppins"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When</w:t>
            </w:r>
            <w:proofErr w:type="gramStart"/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: 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(</w:t>
            </w:r>
            <w:proofErr w:type="gramEnd"/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Timeline and/or Frequency)</w:t>
            </w:r>
          </w:p>
        </w:tc>
      </w:tr>
      <w:tr w:rsidR="00D50635" w14:paraId="46A191D8" w14:textId="77777777" w:rsidTr="00652F59">
        <w:trPr>
          <w:trHeight w:val="1580"/>
        </w:trPr>
        <w:tc>
          <w:tcPr>
            <w:tcW w:w="5205" w:type="dxa"/>
            <w:gridSpan w:val="2"/>
          </w:tcPr>
          <w:p w14:paraId="325A3C50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4AC8A958" w14:textId="77777777" w:rsidR="00D50635" w:rsidRDefault="00D5063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14:paraId="0F157E79" w14:textId="77777777" w:rsidR="00D50635" w:rsidRDefault="00D5063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D50635" w14:paraId="0CC22E17" w14:textId="77777777" w:rsidTr="00652F59">
        <w:trPr>
          <w:trHeight w:val="1580"/>
        </w:trPr>
        <w:tc>
          <w:tcPr>
            <w:tcW w:w="5205" w:type="dxa"/>
            <w:gridSpan w:val="2"/>
          </w:tcPr>
          <w:p w14:paraId="3F64D38D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1A149806" w14:textId="77777777" w:rsidR="00D50635" w:rsidRDefault="00D5063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14:paraId="2318E2D1" w14:textId="77777777" w:rsidR="00D50635" w:rsidRDefault="00D5063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D50635" w14:paraId="00F7471D" w14:textId="77777777" w:rsidTr="00652F59">
        <w:trPr>
          <w:trHeight w:val="1580"/>
        </w:trPr>
        <w:tc>
          <w:tcPr>
            <w:tcW w:w="5205" w:type="dxa"/>
            <w:gridSpan w:val="2"/>
          </w:tcPr>
          <w:p w14:paraId="106EEABF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0A305252" w14:textId="77777777" w:rsidR="00D50635" w:rsidRDefault="00D5063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14:paraId="7AD2B85A" w14:textId="77777777" w:rsidR="00D50635" w:rsidRDefault="00D5063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D50635" w14:paraId="4E93E8F7" w14:textId="77777777" w:rsidTr="00652F59">
        <w:trPr>
          <w:trHeight w:val="1580"/>
        </w:trPr>
        <w:tc>
          <w:tcPr>
            <w:tcW w:w="5205" w:type="dxa"/>
            <w:gridSpan w:val="2"/>
          </w:tcPr>
          <w:p w14:paraId="296FE519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44B4C773" w14:textId="77777777" w:rsidR="00D50635" w:rsidRDefault="00D5063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14:paraId="6654642C" w14:textId="77777777" w:rsidR="00D50635" w:rsidRDefault="00D5063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D50635" w14:paraId="5F54A543" w14:textId="77777777" w:rsidTr="00652F59">
        <w:trPr>
          <w:trHeight w:val="480"/>
        </w:trPr>
        <w:tc>
          <w:tcPr>
            <w:tcW w:w="10875" w:type="dxa"/>
            <w:gridSpan w:val="4"/>
            <w:shd w:val="clear" w:color="auto" w:fill="2D68C4"/>
          </w:tcPr>
          <w:p w14:paraId="1B5D24AC" w14:textId="0194759B" w:rsidR="00D50635" w:rsidRDefault="006B51E6">
            <w:pPr>
              <w:spacing w:before="200" w:line="240" w:lineRule="auto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How/when will mastery be reassessed?</w:t>
            </w:r>
          </w:p>
        </w:tc>
      </w:tr>
      <w:tr w:rsidR="00D50635" w14:paraId="509FD24A" w14:textId="77777777" w:rsidTr="006B51E6">
        <w:trPr>
          <w:trHeight w:val="1673"/>
        </w:trPr>
        <w:tc>
          <w:tcPr>
            <w:tcW w:w="10875" w:type="dxa"/>
            <w:gridSpan w:val="4"/>
          </w:tcPr>
          <w:p w14:paraId="4D54DFD1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C1B4505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bookmarkStart w:id="0" w:name="_GoBack"/>
            <w:bookmarkEnd w:id="0"/>
          </w:p>
          <w:p w14:paraId="4D33A077" w14:textId="77777777" w:rsidR="00D50635" w:rsidRDefault="00D5063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1E5351A7" w14:textId="77777777" w:rsidR="00D50635" w:rsidRDefault="00D50635">
      <w:pPr>
        <w:spacing w:after="200"/>
      </w:pPr>
    </w:p>
    <w:sectPr w:rsidR="00D50635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991AF" w14:textId="77777777" w:rsidR="0095234E" w:rsidRDefault="006B51E6">
      <w:pPr>
        <w:spacing w:line="240" w:lineRule="auto"/>
      </w:pPr>
      <w:r>
        <w:separator/>
      </w:r>
    </w:p>
  </w:endnote>
  <w:endnote w:type="continuationSeparator" w:id="0">
    <w:p w14:paraId="1F4D735B" w14:textId="77777777" w:rsidR="0095234E" w:rsidRDefault="006B5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SemiBold">
    <w:altName w:val="Cambria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25E6" w14:textId="77777777" w:rsidR="00D50635" w:rsidRDefault="00D50635">
    <w:pPr>
      <w:spacing w:line="240" w:lineRule="auto"/>
      <w:rPr>
        <w:rFonts w:ascii="Poppins" w:eastAsia="Poppins" w:hAnsi="Poppins" w:cs="Poppins"/>
        <w:color w:val="25282A"/>
        <w:sz w:val="18"/>
        <w:szCs w:val="18"/>
      </w:rPr>
    </w:pPr>
  </w:p>
  <w:p w14:paraId="41F2B5F5" w14:textId="77777777" w:rsidR="00D50635" w:rsidRDefault="006B51E6">
    <w:pPr>
      <w:spacing w:line="240" w:lineRule="auto"/>
    </w:pPr>
    <w:r>
      <w:rPr>
        <w:rFonts w:ascii="Poppins" w:eastAsia="Poppins" w:hAnsi="Poppins" w:cs="Poppins"/>
        <w:color w:val="25282A"/>
        <w:sz w:val="18"/>
        <w:szCs w:val="18"/>
      </w:rPr>
      <w:t xml:space="preserve">© </w:t>
    </w:r>
    <w:r>
      <w:rPr>
        <w:rFonts w:ascii="Poppins" w:eastAsia="Poppins" w:hAnsi="Poppins" w:cs="Poppins"/>
        <w:i/>
        <w:color w:val="25282A"/>
        <w:sz w:val="18"/>
        <w:szCs w:val="18"/>
      </w:rPr>
      <w:t>Leading Educators 2019</w:t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  <w:t xml:space="preserve">             </w:t>
    </w:r>
    <w:r>
      <w:rPr>
        <w:rFonts w:ascii="Poppins" w:eastAsia="Poppins" w:hAnsi="Poppins" w:cs="Poppins"/>
        <w:sz w:val="18"/>
        <w:szCs w:val="18"/>
      </w:rPr>
      <w:fldChar w:fldCharType="begin"/>
    </w:r>
    <w:r>
      <w:rPr>
        <w:rFonts w:ascii="Poppins" w:eastAsia="Poppins" w:hAnsi="Poppins" w:cs="Poppins"/>
        <w:sz w:val="18"/>
        <w:szCs w:val="18"/>
      </w:rPr>
      <w:instrText>PAGE</w:instrText>
    </w:r>
    <w:r>
      <w:rPr>
        <w:rFonts w:ascii="Poppins" w:eastAsia="Poppins" w:hAnsi="Poppins" w:cs="Poppins"/>
        <w:sz w:val="18"/>
        <w:szCs w:val="18"/>
      </w:rPr>
      <w:fldChar w:fldCharType="separate"/>
    </w:r>
    <w:r w:rsidR="00B24FA3">
      <w:rPr>
        <w:rFonts w:ascii="Poppins" w:eastAsia="Poppins" w:hAnsi="Poppins" w:cs="Poppins"/>
        <w:noProof/>
        <w:sz w:val="18"/>
        <w:szCs w:val="18"/>
      </w:rPr>
      <w:t>1</w:t>
    </w:r>
    <w:r>
      <w:rPr>
        <w:rFonts w:ascii="Poppins" w:eastAsia="Poppins" w:hAnsi="Poppins" w:cs="Poppi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0354D" w14:textId="77777777" w:rsidR="0095234E" w:rsidRDefault="006B51E6">
      <w:pPr>
        <w:spacing w:line="240" w:lineRule="auto"/>
      </w:pPr>
      <w:r>
        <w:separator/>
      </w:r>
    </w:p>
  </w:footnote>
  <w:footnote w:type="continuationSeparator" w:id="0">
    <w:p w14:paraId="7760C755" w14:textId="77777777" w:rsidR="0095234E" w:rsidRDefault="006B5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08528" w14:textId="55B97648" w:rsidR="00D50635" w:rsidRDefault="00913FC1">
    <w:pPr>
      <w:spacing w:line="240" w:lineRule="auto"/>
      <w:ind w:left="2340"/>
      <w:jc w:val="right"/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8CEDEB" wp14:editId="7EBA355A">
          <wp:simplePos x="0" y="0"/>
          <wp:positionH relativeFrom="column">
            <wp:posOffset>947420</wp:posOffset>
          </wp:positionH>
          <wp:positionV relativeFrom="paragraph">
            <wp:posOffset>-83185</wp:posOffset>
          </wp:positionV>
          <wp:extent cx="1319213" cy="571500"/>
          <wp:effectExtent l="0" t="0" r="0" b="0"/>
          <wp:wrapSquare wrapText="bothSides" distT="0" distB="0" distL="114300" distR="11430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B51E6"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>[All Grades] KDE BCML</w:t>
    </w:r>
    <w:r>
      <w:rPr>
        <w:rFonts w:ascii="Poppins SemiBold" w:eastAsia="Poppins SemiBold" w:hAnsi="Poppins SemiBold" w:cs="Poppins SemiBold"/>
        <w:noProof/>
        <w:color w:val="2D68C4"/>
        <w:sz w:val="24"/>
        <w:szCs w:val="24"/>
      </w:rPr>
      <w:drawing>
        <wp:anchor distT="0" distB="0" distL="114300" distR="114300" simplePos="0" relativeHeight="251660288" behindDoc="0" locked="0" layoutInCell="1" allowOverlap="1" wp14:anchorId="5BF5B2FF" wp14:editId="54AAD275">
          <wp:simplePos x="0" y="0"/>
          <wp:positionH relativeFrom="margin">
            <wp:posOffset>-68580</wp:posOffset>
          </wp:positionH>
          <wp:positionV relativeFrom="margin">
            <wp:posOffset>-842645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3132D0" w14:textId="77777777" w:rsidR="00D50635" w:rsidRDefault="006B51E6">
    <w:pPr>
      <w:spacing w:line="240" w:lineRule="auto"/>
      <w:ind w:left="2340"/>
      <w:jc w:val="right"/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</w:pPr>
    <w:r>
      <w:rPr>
        <w:rFonts w:ascii="Poppins" w:eastAsia="Poppins" w:hAnsi="Poppins" w:cs="Poppins"/>
        <w:b/>
        <w:color w:val="2D68C4"/>
        <w:sz w:val="24"/>
        <w:szCs w:val="24"/>
        <w:highlight w:val="white"/>
        <w:u w:val="single"/>
      </w:rPr>
      <w:t>Topic 2: Focusing on SMP 1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2</w:t>
    </w:r>
  </w:p>
  <w:p w14:paraId="027722F8" w14:textId="77777777" w:rsidR="00D50635" w:rsidRDefault="006B51E6">
    <w:pPr>
      <w:spacing w:line="240" w:lineRule="auto"/>
      <w:ind w:left="2340"/>
      <w:jc w:val="right"/>
      <w:rPr>
        <w:rFonts w:ascii="Poppins" w:eastAsia="Poppins" w:hAnsi="Poppins" w:cs="Poppins"/>
        <w:b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F0BF7"/>
    <w:multiLevelType w:val="multilevel"/>
    <w:tmpl w:val="8B4A2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85265F"/>
    <w:multiLevelType w:val="multilevel"/>
    <w:tmpl w:val="A92C7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35"/>
    <w:rsid w:val="00652F59"/>
    <w:rsid w:val="006B51E6"/>
    <w:rsid w:val="00913FC1"/>
    <w:rsid w:val="0095234E"/>
    <w:rsid w:val="00B24FA3"/>
    <w:rsid w:val="00D50635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7E7A79"/>
  <w15:docId w15:val="{D5E666CC-E068-42A8-AECC-35F49F06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3F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FC1"/>
  </w:style>
  <w:style w:type="paragraph" w:styleId="Footer">
    <w:name w:val="footer"/>
    <w:basedOn w:val="Normal"/>
    <w:link w:val="FooterChar"/>
    <w:uiPriority w:val="99"/>
    <w:unhideWhenUsed/>
    <w:rsid w:val="00913F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2020-08-17T04:00:00+00:00</Publication_x0020_Date>
    <Audience1 xmlns="3a62de7d-ba57-4f43-9dae-9623ba637be0"/>
    <_dlc_DocId xmlns="3a62de7d-ba57-4f43-9dae-9623ba637be0">KYED-536-968</_dlc_DocId>
    <_dlc_DocIdUrl xmlns="3a62de7d-ba57-4f43-9dae-9623ba637be0">
      <Url>https://www.education.ky.gov/curriculum/standards/kyacadstand/_layouts/15/DocIdRedir.aspx?ID=KYED-536-968</Url>
      <Description>KYED-536-968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FF1F97-CC4E-467D-9BC8-8080F565D514}"/>
</file>

<file path=customXml/itemProps2.xml><?xml version="1.0" encoding="utf-8"?>
<ds:datastoreItem xmlns:ds="http://schemas.openxmlformats.org/officeDocument/2006/customXml" ds:itemID="{8E5BA843-3562-43FA-88C6-19883B861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2ECC2-04BC-4BB5-AE4A-1DF7A1723694}">
  <ds:schemaRefs>
    <ds:schemaRef ds:uri="621773ed-55dc-4476-af5e-5bf4e5742684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12423c08-2846-40b6-adb1-6ff477af9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C90BBE-1343-47EF-89E8-EF24EDE1C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6</cp:revision>
  <dcterms:created xsi:type="dcterms:W3CDTF">2020-07-20T16:05:00Z</dcterms:created>
  <dcterms:modified xsi:type="dcterms:W3CDTF">2020-07-27T16:23:00Z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0c37ec3c-2643-411e-843d-7def32f3f3f5</vt:lpwstr>
  </property>
</Properties>
</file>