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66EFEDE" w14:textId="77777777" w:rsidR="00C80A52" w:rsidRDefault="00ED0BCF">
      <w:pPr>
        <w:spacing w:after="200" w:line="240" w:lineRule="auto"/>
        <w:rPr>
          <w:rFonts w:ascii="Poppins SemiBold" w:eastAsia="Poppins SemiBold" w:hAnsi="Poppins SemiBold" w:cs="Poppins SemiBold"/>
          <w:color w:val="2D68C4"/>
          <w:sz w:val="24"/>
          <w:szCs w:val="24"/>
          <w:highlight w:val="white"/>
        </w:rPr>
      </w:pPr>
      <w:r>
        <w:rPr>
          <w:rFonts w:ascii="Poppins SemiBold" w:eastAsia="Poppins SemiBold" w:hAnsi="Poppins SemiBold" w:cs="Poppins SemiBold"/>
          <w:color w:val="2D68C4"/>
          <w:sz w:val="24"/>
          <w:szCs w:val="24"/>
          <w:highlight w:val="white"/>
        </w:rPr>
        <w:t>Session 8: Lesson Planning Tool</w:t>
      </w:r>
    </w:p>
    <w:p w14:paraId="0B345AD3" w14:textId="6D90A4B4" w:rsidR="00C80A52" w:rsidRDefault="00ED0BCF">
      <w:pPr>
        <w:rPr>
          <w:rFonts w:ascii="Poppins" w:eastAsia="Poppins" w:hAnsi="Poppins" w:cs="Poppins"/>
          <w:i/>
          <w:sz w:val="18"/>
          <w:szCs w:val="18"/>
        </w:rPr>
      </w:pPr>
      <w:r>
        <w:rPr>
          <w:rFonts w:ascii="Poppins" w:eastAsia="Poppins" w:hAnsi="Poppins" w:cs="Poppins"/>
          <w:i/>
          <w:sz w:val="18"/>
          <w:szCs w:val="18"/>
        </w:rPr>
        <w:t>This lesson planning tool draws from the Mathematics Assignment Review Protocol. Teachers may choose to utilize other planning methods and resources during this session.</w:t>
      </w:r>
    </w:p>
    <w:p w14:paraId="728D11C3" w14:textId="77777777" w:rsidR="00C80A52" w:rsidRDefault="00C80A52">
      <w:pPr>
        <w:rPr>
          <w:rFonts w:ascii="Poppins" w:eastAsia="Poppins" w:hAnsi="Poppins" w:cs="Poppins"/>
          <w:sz w:val="18"/>
          <w:szCs w:val="18"/>
        </w:rPr>
      </w:pPr>
    </w:p>
    <w:tbl>
      <w:tblPr>
        <w:tblStyle w:val="a"/>
        <w:tblW w:w="108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10890"/>
      </w:tblGrid>
      <w:tr w:rsidR="00C80A52" w14:paraId="02476FE4" w14:textId="77777777" w:rsidTr="00563001">
        <w:trPr>
          <w:trHeight w:val="480"/>
        </w:trPr>
        <w:tc>
          <w:tcPr>
            <w:tcW w:w="10890" w:type="dxa"/>
            <w:shd w:val="clear" w:color="auto" w:fill="146CC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EF6020" w14:textId="77777777" w:rsidR="00C80A52" w:rsidRDefault="00ED0BCF">
            <w:pPr>
              <w:widowControl w:val="0"/>
              <w:spacing w:line="240" w:lineRule="auto"/>
              <w:jc w:val="center"/>
              <w:rPr>
                <w:rFonts w:ascii="Poppins" w:eastAsia="Poppins" w:hAnsi="Poppins" w:cs="Poppins"/>
                <w:b/>
                <w:color w:val="FFFFFF"/>
                <w:sz w:val="20"/>
                <w:szCs w:val="20"/>
              </w:rPr>
            </w:pPr>
            <w:r>
              <w:rPr>
                <w:rFonts w:ascii="Poppins" w:eastAsia="Poppins" w:hAnsi="Poppins" w:cs="Poppins"/>
                <w:b/>
                <w:color w:val="FFFFFF"/>
                <w:sz w:val="20"/>
                <w:szCs w:val="20"/>
              </w:rPr>
              <w:t xml:space="preserve">Planning for Instruction </w:t>
            </w:r>
          </w:p>
        </w:tc>
      </w:tr>
      <w:tr w:rsidR="00C80A52" w14:paraId="451711CC" w14:textId="77777777" w:rsidTr="00563001">
        <w:trPr>
          <w:trHeight w:val="400"/>
        </w:trPr>
        <w:tc>
          <w:tcPr>
            <w:tcW w:w="1089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9C1D27" w14:textId="77777777" w:rsidR="00C80A52" w:rsidRDefault="00ED0BCF">
            <w:pPr>
              <w:widowControl w:val="0"/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b/>
                <w:sz w:val="18"/>
                <w:szCs w:val="18"/>
              </w:rPr>
              <w:t>Content Standard(s):</w:t>
            </w:r>
            <w:r>
              <w:rPr>
                <w:rFonts w:ascii="Poppins" w:eastAsia="Poppins" w:hAnsi="Poppins" w:cs="Poppins"/>
                <w:sz w:val="18"/>
                <w:szCs w:val="18"/>
              </w:rPr>
              <w:t xml:space="preserve"> Does the lesson/task focus on one or more grade-appropriate mathematics standards?</w:t>
            </w:r>
          </w:p>
        </w:tc>
      </w:tr>
      <w:tr w:rsidR="00C80A52" w14:paraId="10121D8B" w14:textId="77777777" w:rsidTr="00563001">
        <w:tc>
          <w:tcPr>
            <w:tcW w:w="10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12AB86" w14:textId="77777777" w:rsidR="00C80A52" w:rsidRDefault="00ED0BCF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What standard(s) does this lesson address? </w:t>
            </w:r>
          </w:p>
          <w:p w14:paraId="644AF7DD" w14:textId="77777777" w:rsidR="00C80A52" w:rsidRDefault="00C80A52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  <w:p w14:paraId="2B13BE5D" w14:textId="33EEA01B" w:rsidR="00C80A52" w:rsidRDefault="00C80A52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  <w:p w14:paraId="6481033F" w14:textId="4466871D" w:rsidR="00ED452C" w:rsidRDefault="00ED452C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  <w:p w14:paraId="2C5A4DB6" w14:textId="77777777" w:rsidR="00ED452C" w:rsidRDefault="00ED452C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  <w:p w14:paraId="2F7AD0E6" w14:textId="77777777" w:rsidR="00C80A52" w:rsidRDefault="00C80A52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  <w:p w14:paraId="15ACDC9A" w14:textId="77777777" w:rsidR="00C80A52" w:rsidRDefault="00ED0BCF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What standards (within or across grade-level coherence) does the lesson rely upon?</w:t>
            </w:r>
          </w:p>
          <w:p w14:paraId="2397B9A4" w14:textId="77777777" w:rsidR="00C80A52" w:rsidRDefault="00C80A52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  <w:p w14:paraId="0EB99D2D" w14:textId="1F64015B" w:rsidR="00C80A52" w:rsidRDefault="00C80A52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  <w:p w14:paraId="5A94C969" w14:textId="18FFBAAE" w:rsidR="00ED452C" w:rsidRDefault="00ED452C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  <w:p w14:paraId="25A97084" w14:textId="77777777" w:rsidR="00ED452C" w:rsidRDefault="00ED452C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  <w:p w14:paraId="01CF7D9A" w14:textId="77777777" w:rsidR="00C80A52" w:rsidRDefault="00C80A52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</w:tr>
      <w:tr w:rsidR="00C80A52" w14:paraId="19B412E9" w14:textId="77777777" w:rsidTr="00563001">
        <w:trPr>
          <w:trHeight w:val="400"/>
        </w:trPr>
        <w:tc>
          <w:tcPr>
            <w:tcW w:w="1089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41180" w14:textId="77777777" w:rsidR="00C80A52" w:rsidRDefault="00ED0BCF">
            <w:pPr>
              <w:widowControl w:val="0"/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b/>
                <w:sz w:val="18"/>
                <w:szCs w:val="18"/>
              </w:rPr>
              <w:t xml:space="preserve">Learning Plan: </w:t>
            </w:r>
            <w:r>
              <w:rPr>
                <w:rFonts w:ascii="Poppins" w:eastAsia="Poppins" w:hAnsi="Poppins" w:cs="Poppins"/>
                <w:sz w:val="18"/>
                <w:szCs w:val="18"/>
              </w:rPr>
              <w:t>Script out the key lesson components.</w:t>
            </w:r>
          </w:p>
          <w:p w14:paraId="1120283B" w14:textId="77777777" w:rsidR="00C80A52" w:rsidRDefault="00ED0BCF">
            <w:pPr>
              <w:widowControl w:val="0"/>
              <w:spacing w:line="240" w:lineRule="auto"/>
              <w:jc w:val="center"/>
              <w:rPr>
                <w:rFonts w:ascii="Poppins" w:eastAsia="Poppins" w:hAnsi="Poppins" w:cs="Poppins"/>
                <w:b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(e.g. Do Now, Activating Prior Knowledge, New Learning, Guided Practice, Independent Practice, Closing, </w:t>
            </w:r>
            <w:proofErr w:type="spellStart"/>
            <w:r>
              <w:rPr>
                <w:rFonts w:ascii="Poppins" w:eastAsia="Poppins" w:hAnsi="Poppins" w:cs="Poppins"/>
                <w:sz w:val="18"/>
                <w:szCs w:val="18"/>
              </w:rPr>
              <w:t>etc</w:t>
            </w:r>
            <w:proofErr w:type="spellEnd"/>
            <w:r>
              <w:rPr>
                <w:rFonts w:ascii="Poppins" w:eastAsia="Poppins" w:hAnsi="Poppins" w:cs="Poppins"/>
                <w:sz w:val="18"/>
                <w:szCs w:val="18"/>
              </w:rPr>
              <w:t>)</w:t>
            </w:r>
          </w:p>
        </w:tc>
      </w:tr>
      <w:tr w:rsidR="00C80A52" w14:paraId="7B2E9903" w14:textId="77777777" w:rsidTr="00563001">
        <w:trPr>
          <w:trHeight w:val="20"/>
        </w:trPr>
        <w:tc>
          <w:tcPr>
            <w:tcW w:w="10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464651" w14:textId="77777777" w:rsidR="00C80A52" w:rsidRDefault="00C80A52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  <w:p w14:paraId="1F046AD1" w14:textId="77777777" w:rsidR="00C80A52" w:rsidRDefault="00C80A52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  <w:p w14:paraId="0782A228" w14:textId="77777777" w:rsidR="00C80A52" w:rsidRDefault="00C80A52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  <w:p w14:paraId="39937DEC" w14:textId="77777777" w:rsidR="00C80A52" w:rsidRDefault="00C80A52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  <w:p w14:paraId="6A5292B6" w14:textId="77777777" w:rsidR="00C80A52" w:rsidRDefault="00C80A52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  <w:p w14:paraId="7CD330FF" w14:textId="77777777" w:rsidR="00C80A52" w:rsidRDefault="00C80A52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  <w:p w14:paraId="4D0BA185" w14:textId="77777777" w:rsidR="00C80A52" w:rsidRDefault="00C80A52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  <w:p w14:paraId="524040F5" w14:textId="77777777" w:rsidR="00C80A52" w:rsidRDefault="00C80A52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  <w:p w14:paraId="0608E873" w14:textId="77777777" w:rsidR="00C80A52" w:rsidRDefault="00C80A52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  <w:p w14:paraId="1ECA3768" w14:textId="704E407B" w:rsidR="00C80A52" w:rsidRDefault="00C80A52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  <w:p w14:paraId="050CA84C" w14:textId="51A11797" w:rsidR="00ED452C" w:rsidRDefault="00ED452C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  <w:p w14:paraId="2C12ED99" w14:textId="6D31D614" w:rsidR="00ED452C" w:rsidRDefault="00ED452C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  <w:p w14:paraId="2BEEB2C1" w14:textId="77777777" w:rsidR="00ED452C" w:rsidRDefault="00ED452C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  <w:p w14:paraId="4EBC4A07" w14:textId="7F4C68C1" w:rsidR="00C80A52" w:rsidRDefault="00C80A52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  <w:p w14:paraId="315BC1BB" w14:textId="2823E21A" w:rsidR="00ED452C" w:rsidRDefault="00ED452C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  <w:p w14:paraId="03A5B7A5" w14:textId="77777777" w:rsidR="00ED452C" w:rsidRDefault="00ED452C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  <w:p w14:paraId="2870BFB1" w14:textId="77777777" w:rsidR="00C80A52" w:rsidRDefault="00C80A52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  <w:p w14:paraId="0876B847" w14:textId="77777777" w:rsidR="00C80A52" w:rsidRDefault="00C80A52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  <w:p w14:paraId="4D884080" w14:textId="77777777" w:rsidR="00C80A52" w:rsidRDefault="00C80A52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  <w:p w14:paraId="7F1F5DFD" w14:textId="77777777" w:rsidR="00C80A52" w:rsidRDefault="00C80A52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  <w:p w14:paraId="7165BDE6" w14:textId="77777777" w:rsidR="00C80A52" w:rsidRDefault="00C80A52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  <w:p w14:paraId="67331EA8" w14:textId="77777777" w:rsidR="00C80A52" w:rsidRDefault="00C80A52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  <w:p w14:paraId="6634DCF3" w14:textId="3B78F92B" w:rsidR="00C80A52" w:rsidRDefault="00C80A52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  <w:p w14:paraId="2AFBAC15" w14:textId="77777777" w:rsidR="00745C0F" w:rsidRDefault="00745C0F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  <w:p w14:paraId="150D4699" w14:textId="77777777" w:rsidR="00C80A52" w:rsidRDefault="00C80A52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  <w:p w14:paraId="395A19C6" w14:textId="77777777" w:rsidR="00C80A52" w:rsidRDefault="00C80A52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  <w:p w14:paraId="509B91A0" w14:textId="77777777" w:rsidR="00C80A52" w:rsidRDefault="00C80A52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</w:tr>
    </w:tbl>
    <w:tbl>
      <w:tblPr>
        <w:tblStyle w:val="a0"/>
        <w:tblW w:w="108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3602"/>
        <w:gridCol w:w="3644"/>
        <w:gridCol w:w="3644"/>
      </w:tblGrid>
      <w:tr w:rsidR="00C80A52" w14:paraId="151F2963" w14:textId="77777777" w:rsidTr="00563001">
        <w:trPr>
          <w:trHeight w:val="400"/>
        </w:trPr>
        <w:tc>
          <w:tcPr>
            <w:tcW w:w="10890" w:type="dxa"/>
            <w:gridSpan w:val="3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21F0C9" w14:textId="77777777" w:rsidR="00C80A52" w:rsidRDefault="00ED0BCF">
            <w:pPr>
              <w:widowControl w:val="0"/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b/>
                <w:sz w:val="18"/>
                <w:szCs w:val="18"/>
              </w:rPr>
              <w:lastRenderedPageBreak/>
              <w:t xml:space="preserve">Do the Math: </w:t>
            </w:r>
            <w:r>
              <w:rPr>
                <w:rFonts w:ascii="Poppins" w:eastAsia="Poppins" w:hAnsi="Poppins" w:cs="Poppins"/>
                <w:sz w:val="18"/>
                <w:szCs w:val="18"/>
              </w:rPr>
              <w:t xml:space="preserve">Select a given task or tasks from the lesson. </w:t>
            </w:r>
          </w:p>
        </w:tc>
      </w:tr>
      <w:tr w:rsidR="00C80A52" w14:paraId="12907C7B" w14:textId="77777777" w:rsidTr="00563001">
        <w:trPr>
          <w:trHeight w:val="5600"/>
        </w:trPr>
        <w:tc>
          <w:tcPr>
            <w:tcW w:w="1089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8370B0" w14:textId="77777777" w:rsidR="00C80A52" w:rsidRDefault="00ED0BCF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Solve the task by creating an exemplar student response.</w:t>
            </w:r>
          </w:p>
          <w:p w14:paraId="3886F2D8" w14:textId="77777777" w:rsidR="00C80A52" w:rsidRDefault="00C80A52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  <w:p w14:paraId="2C1F1951" w14:textId="77777777" w:rsidR="00C80A52" w:rsidRDefault="00C80A52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  <w:p w14:paraId="401B11E4" w14:textId="77777777" w:rsidR="00C80A52" w:rsidRDefault="00C80A52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  <w:p w14:paraId="698A2D05" w14:textId="77777777" w:rsidR="00C80A52" w:rsidRDefault="00C80A52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  <w:p w14:paraId="74EE06CF" w14:textId="77777777" w:rsidR="00C80A52" w:rsidRDefault="00C80A52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  <w:p w14:paraId="6A8825EA" w14:textId="77777777" w:rsidR="00C80A52" w:rsidRDefault="00C80A52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  <w:p w14:paraId="04235F73" w14:textId="77777777" w:rsidR="00C80A52" w:rsidRDefault="00C80A52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  <w:p w14:paraId="5C115F4B" w14:textId="77777777" w:rsidR="00C80A52" w:rsidRDefault="00C80A52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  <w:p w14:paraId="2181BA02" w14:textId="188103BC" w:rsidR="00C80A52" w:rsidRDefault="00C80A52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  <w:p w14:paraId="287902EA" w14:textId="77777777" w:rsidR="00ED452C" w:rsidRDefault="00ED452C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  <w:p w14:paraId="08C99893" w14:textId="77777777" w:rsidR="00C80A52" w:rsidRDefault="00C80A52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  <w:p w14:paraId="38EEFB92" w14:textId="0782F143" w:rsidR="00C80A52" w:rsidRDefault="00C80A52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  <w:p w14:paraId="456E5348" w14:textId="77777777" w:rsidR="00ED452C" w:rsidRDefault="00ED452C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  <w:p w14:paraId="4335E469" w14:textId="77777777" w:rsidR="00C80A52" w:rsidRDefault="00C80A52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  <w:p w14:paraId="11345C75" w14:textId="77777777" w:rsidR="00C80A52" w:rsidRDefault="00C80A52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  <w:p w14:paraId="20CBA223" w14:textId="77777777" w:rsidR="00C80A52" w:rsidRDefault="00ED0BCF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Predict incorrect solution strategies (e.g., misconceptions, procedural errors). How will you proactively address these misconceptions?</w:t>
            </w:r>
          </w:p>
          <w:p w14:paraId="5AAD559D" w14:textId="77777777" w:rsidR="00C80A52" w:rsidRDefault="00C80A52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  <w:p w14:paraId="77188B05" w14:textId="77777777" w:rsidR="00ED452C" w:rsidRDefault="00ED452C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  <w:p w14:paraId="4F1FF82F" w14:textId="77777777" w:rsidR="00ED452C" w:rsidRDefault="00ED452C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  <w:p w14:paraId="2F477EA0" w14:textId="77777777" w:rsidR="00ED452C" w:rsidRDefault="00ED452C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  <w:p w14:paraId="53E7BA1F" w14:textId="77777777" w:rsidR="00ED452C" w:rsidRDefault="00ED452C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  <w:p w14:paraId="48239A9A" w14:textId="77777777" w:rsidR="00ED452C" w:rsidRDefault="00ED452C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  <w:p w14:paraId="21F75212" w14:textId="77777777" w:rsidR="00ED452C" w:rsidRDefault="00ED452C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  <w:p w14:paraId="29D9173F" w14:textId="77777777" w:rsidR="00ED452C" w:rsidRDefault="00ED452C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  <w:p w14:paraId="0A52B1C4" w14:textId="77777777" w:rsidR="00ED452C" w:rsidRDefault="00ED452C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  <w:p w14:paraId="3F17E3F1" w14:textId="085D9CBD" w:rsidR="00ED452C" w:rsidRDefault="00ED452C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C80A52" w14:paraId="570CD0D5" w14:textId="77777777" w:rsidTr="00563001">
        <w:trPr>
          <w:trHeight w:val="360"/>
        </w:trPr>
        <w:tc>
          <w:tcPr>
            <w:tcW w:w="10890" w:type="dxa"/>
            <w:gridSpan w:val="3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042BB0" w14:textId="77777777" w:rsidR="00C80A52" w:rsidRDefault="00ED0BCF">
            <w:pPr>
              <w:widowControl w:val="0"/>
              <w:spacing w:line="240" w:lineRule="auto"/>
              <w:jc w:val="center"/>
              <w:rPr>
                <w:rFonts w:ascii="Poppins" w:eastAsia="Poppins" w:hAnsi="Poppins" w:cs="Poppins"/>
                <w:b/>
                <w:sz w:val="18"/>
                <w:szCs w:val="18"/>
              </w:rPr>
            </w:pPr>
            <w:r>
              <w:rPr>
                <w:rFonts w:ascii="Poppins" w:eastAsia="Poppins" w:hAnsi="Poppins" w:cs="Poppins"/>
                <w:b/>
                <w:sz w:val="18"/>
                <w:szCs w:val="18"/>
              </w:rPr>
              <w:t>Target of the Standard</w:t>
            </w:r>
            <w:r>
              <w:rPr>
                <w:rFonts w:ascii="Poppins" w:eastAsia="Poppins" w:hAnsi="Poppins" w:cs="Poppins"/>
                <w:sz w:val="18"/>
                <w:szCs w:val="18"/>
              </w:rPr>
              <w:t>: How does the lesson/task engage students in reaching the target of the standard?</w:t>
            </w:r>
          </w:p>
        </w:tc>
      </w:tr>
      <w:tr w:rsidR="00C80A52" w14:paraId="54EDDBCA" w14:textId="77777777" w:rsidTr="00E859C2">
        <w:trPr>
          <w:trHeight w:val="4641"/>
        </w:trPr>
        <w:tc>
          <w:tcPr>
            <w:tcW w:w="36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B469AD" w14:textId="174EAAB4" w:rsidR="00C80A52" w:rsidRDefault="00ED0BCF">
            <w:pPr>
              <w:widowControl w:val="0"/>
              <w:spacing w:line="240" w:lineRule="auto"/>
              <w:jc w:val="center"/>
              <w:rPr>
                <w:rFonts w:ascii="Poppins" w:eastAsia="Poppins" w:hAnsi="Poppins" w:cs="Poppins"/>
                <w:b/>
                <w:i/>
                <w:sz w:val="18"/>
                <w:szCs w:val="18"/>
              </w:rPr>
            </w:pPr>
            <w:r>
              <w:rPr>
                <w:rFonts w:ascii="Poppins" w:eastAsia="Poppins" w:hAnsi="Poppins" w:cs="Poppins"/>
                <w:b/>
                <w:i/>
                <w:sz w:val="18"/>
                <w:szCs w:val="18"/>
              </w:rPr>
              <w:t>Conceptual Understanding</w:t>
            </w:r>
          </w:p>
          <w:p w14:paraId="2146D3B6" w14:textId="2D92DB86" w:rsidR="00C80A52" w:rsidRDefault="00563001">
            <w:pPr>
              <w:widowControl w:val="0"/>
              <w:spacing w:line="240" w:lineRule="auto"/>
              <w:rPr>
                <w:rFonts w:ascii="Poppins" w:eastAsia="Poppins" w:hAnsi="Poppins" w:cs="Poppins"/>
                <w:i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If the target of the standard is conceptual understanding, w</w:t>
            </w:r>
            <w:r w:rsidR="00ED0BCF">
              <w:rPr>
                <w:rFonts w:ascii="Poppins" w:eastAsia="Poppins" w:hAnsi="Poppins" w:cs="Poppins"/>
                <w:sz w:val="18"/>
                <w:szCs w:val="18"/>
              </w:rPr>
              <w:t>hat do students have to</w:t>
            </w:r>
            <w:r w:rsidR="00ED0BCF">
              <w:rPr>
                <w:rFonts w:ascii="Poppins" w:eastAsia="Poppins" w:hAnsi="Poppins" w:cs="Poppins"/>
                <w:b/>
                <w:sz w:val="18"/>
                <w:szCs w:val="18"/>
                <w:u w:val="single"/>
              </w:rPr>
              <w:t xml:space="preserve"> know</w:t>
            </w:r>
            <w:r w:rsidR="00ED0BCF">
              <w:rPr>
                <w:rFonts w:ascii="Poppins" w:eastAsia="Poppins" w:hAnsi="Poppins" w:cs="Poppins"/>
                <w:sz w:val="18"/>
                <w:szCs w:val="18"/>
              </w:rPr>
              <w:t xml:space="preserve"> in order to demonstrate mastery on this task? </w:t>
            </w:r>
          </w:p>
          <w:p w14:paraId="3534B9FF" w14:textId="77777777" w:rsidR="00C80A52" w:rsidRDefault="00C80A52">
            <w:pPr>
              <w:widowControl w:val="0"/>
              <w:spacing w:line="240" w:lineRule="auto"/>
              <w:rPr>
                <w:rFonts w:ascii="Poppins" w:eastAsia="Poppins" w:hAnsi="Poppins" w:cs="Poppins"/>
                <w:i/>
                <w:sz w:val="18"/>
                <w:szCs w:val="18"/>
              </w:rPr>
            </w:pPr>
          </w:p>
          <w:p w14:paraId="42D02D0D" w14:textId="77777777" w:rsidR="00C80A52" w:rsidRDefault="00C80A52">
            <w:pPr>
              <w:widowControl w:val="0"/>
              <w:spacing w:line="240" w:lineRule="auto"/>
              <w:rPr>
                <w:rFonts w:ascii="Poppins" w:eastAsia="Poppins" w:hAnsi="Poppins" w:cs="Poppins"/>
                <w:i/>
                <w:sz w:val="18"/>
                <w:szCs w:val="18"/>
              </w:rPr>
            </w:pPr>
          </w:p>
          <w:p w14:paraId="475D1527" w14:textId="77777777" w:rsidR="00C80A52" w:rsidRDefault="00C80A52">
            <w:pPr>
              <w:widowControl w:val="0"/>
              <w:spacing w:line="240" w:lineRule="auto"/>
              <w:rPr>
                <w:rFonts w:ascii="Poppins" w:eastAsia="Poppins" w:hAnsi="Poppins" w:cs="Poppins"/>
                <w:i/>
                <w:sz w:val="18"/>
                <w:szCs w:val="18"/>
              </w:rPr>
            </w:pPr>
          </w:p>
          <w:p w14:paraId="5901534E" w14:textId="77777777" w:rsidR="00C80A52" w:rsidRDefault="00C80A52">
            <w:pPr>
              <w:widowControl w:val="0"/>
              <w:spacing w:line="240" w:lineRule="auto"/>
              <w:rPr>
                <w:rFonts w:ascii="Poppins" w:eastAsia="Poppins" w:hAnsi="Poppins" w:cs="Poppins"/>
                <w:i/>
                <w:sz w:val="18"/>
                <w:szCs w:val="18"/>
              </w:rPr>
            </w:pPr>
          </w:p>
          <w:p w14:paraId="22E5C4E2" w14:textId="77777777" w:rsidR="00C80A52" w:rsidRDefault="00C80A52">
            <w:pPr>
              <w:widowControl w:val="0"/>
              <w:spacing w:line="240" w:lineRule="auto"/>
              <w:rPr>
                <w:rFonts w:ascii="Poppins" w:eastAsia="Poppins" w:hAnsi="Poppins" w:cs="Poppins"/>
                <w:i/>
                <w:sz w:val="18"/>
                <w:szCs w:val="18"/>
              </w:rPr>
            </w:pPr>
          </w:p>
          <w:p w14:paraId="63BEDB01" w14:textId="77777777" w:rsidR="00C80A52" w:rsidRDefault="00C80A52">
            <w:pPr>
              <w:widowControl w:val="0"/>
              <w:spacing w:line="240" w:lineRule="auto"/>
              <w:rPr>
                <w:rFonts w:ascii="Poppins" w:eastAsia="Poppins" w:hAnsi="Poppins" w:cs="Poppins"/>
                <w:i/>
                <w:sz w:val="18"/>
                <w:szCs w:val="18"/>
              </w:rPr>
            </w:pPr>
          </w:p>
        </w:tc>
        <w:tc>
          <w:tcPr>
            <w:tcW w:w="36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E4AB74" w14:textId="2FDDA608" w:rsidR="00C80A52" w:rsidRDefault="00ED0BCF">
            <w:pPr>
              <w:widowControl w:val="0"/>
              <w:spacing w:line="240" w:lineRule="auto"/>
              <w:jc w:val="center"/>
              <w:rPr>
                <w:rFonts w:ascii="Poppins" w:eastAsia="Poppins" w:hAnsi="Poppins" w:cs="Poppins"/>
                <w:b/>
                <w:i/>
                <w:sz w:val="18"/>
                <w:szCs w:val="18"/>
              </w:rPr>
            </w:pPr>
            <w:r>
              <w:rPr>
                <w:rFonts w:ascii="Poppins" w:eastAsia="Poppins" w:hAnsi="Poppins" w:cs="Poppins"/>
                <w:b/>
                <w:i/>
                <w:sz w:val="18"/>
                <w:szCs w:val="18"/>
              </w:rPr>
              <w:t>Procedural Skill</w:t>
            </w:r>
            <w:r w:rsidR="00563001">
              <w:rPr>
                <w:rFonts w:ascii="Poppins" w:eastAsia="Poppins" w:hAnsi="Poppins" w:cs="Poppins"/>
                <w:b/>
                <w:i/>
                <w:sz w:val="18"/>
                <w:szCs w:val="18"/>
              </w:rPr>
              <w:t>/Fluency</w:t>
            </w:r>
          </w:p>
          <w:p w14:paraId="7E923ECE" w14:textId="4FEB0B20" w:rsidR="00C80A52" w:rsidRDefault="00563001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If the target of the standard is procedural skill/fluency, w</w:t>
            </w:r>
            <w:r w:rsidR="00ED0BCF">
              <w:rPr>
                <w:rFonts w:ascii="Poppins" w:eastAsia="Poppins" w:hAnsi="Poppins" w:cs="Poppins"/>
                <w:sz w:val="18"/>
                <w:szCs w:val="18"/>
              </w:rPr>
              <w:t>hat do students have to be able to do/</w:t>
            </w:r>
            <w:r w:rsidR="00ED0BCF">
              <w:rPr>
                <w:rFonts w:ascii="Poppins" w:eastAsia="Poppins" w:hAnsi="Poppins" w:cs="Poppins"/>
                <w:b/>
                <w:sz w:val="18"/>
                <w:szCs w:val="18"/>
                <w:u w:val="single"/>
              </w:rPr>
              <w:t>show</w:t>
            </w:r>
            <w:r w:rsidR="00ED0BCF">
              <w:rPr>
                <w:rFonts w:ascii="Poppins" w:eastAsia="Poppins" w:hAnsi="Poppins" w:cs="Poppins"/>
                <w:sz w:val="18"/>
                <w:szCs w:val="18"/>
              </w:rPr>
              <w:t xml:space="preserve"> in order to demonstrate mastery on this task? How are students asked to connect procedures back to underlying conceptual ideas?</w:t>
            </w:r>
          </w:p>
          <w:p w14:paraId="4B80517B" w14:textId="77777777" w:rsidR="00C80A52" w:rsidRDefault="00C80A52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  <w:p w14:paraId="14C2C436" w14:textId="77777777" w:rsidR="00C80A52" w:rsidRDefault="00C80A52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  <w:p w14:paraId="0EEE0E02" w14:textId="77777777" w:rsidR="00C80A52" w:rsidRDefault="00C80A52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  <w:p w14:paraId="5D9C13A7" w14:textId="77777777" w:rsidR="00C80A52" w:rsidRDefault="00C80A52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  <w:p w14:paraId="47AADEF6" w14:textId="77777777" w:rsidR="00C80A52" w:rsidRDefault="00C80A52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  <w:p w14:paraId="01384F6C" w14:textId="77777777" w:rsidR="00C80A52" w:rsidRDefault="00C80A52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  <w:tc>
          <w:tcPr>
            <w:tcW w:w="36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4BA3B8" w14:textId="77777777" w:rsidR="00C80A52" w:rsidRDefault="00ED0BCF">
            <w:pPr>
              <w:widowControl w:val="0"/>
              <w:spacing w:line="240" w:lineRule="auto"/>
              <w:jc w:val="center"/>
              <w:rPr>
                <w:rFonts w:ascii="Poppins" w:eastAsia="Poppins" w:hAnsi="Poppins" w:cs="Poppins"/>
                <w:b/>
                <w:i/>
                <w:sz w:val="18"/>
                <w:szCs w:val="18"/>
              </w:rPr>
            </w:pPr>
            <w:r>
              <w:rPr>
                <w:rFonts w:ascii="Poppins" w:eastAsia="Poppins" w:hAnsi="Poppins" w:cs="Poppins"/>
                <w:b/>
                <w:i/>
                <w:sz w:val="18"/>
                <w:szCs w:val="18"/>
              </w:rPr>
              <w:t>Application</w:t>
            </w:r>
          </w:p>
          <w:p w14:paraId="38D4C09B" w14:textId="06AE8F1F" w:rsidR="00C80A52" w:rsidRDefault="00563001">
            <w:pPr>
              <w:widowControl w:val="0"/>
              <w:spacing w:line="240" w:lineRule="auto"/>
              <w:rPr>
                <w:rFonts w:ascii="Poppins" w:eastAsia="Poppins" w:hAnsi="Poppins" w:cs="Poppins"/>
                <w:b/>
                <w:i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If the target of the standard is </w:t>
            </w:r>
            <w:r w:rsidR="00E859C2">
              <w:rPr>
                <w:rFonts w:ascii="Poppins" w:eastAsia="Poppins" w:hAnsi="Poppins" w:cs="Poppins"/>
                <w:sz w:val="18"/>
                <w:szCs w:val="18"/>
              </w:rPr>
              <w:t>application, w</w:t>
            </w:r>
            <w:r w:rsidR="00ED0BCF">
              <w:rPr>
                <w:rFonts w:ascii="Poppins" w:eastAsia="Poppins" w:hAnsi="Poppins" w:cs="Poppins"/>
                <w:sz w:val="18"/>
                <w:szCs w:val="18"/>
              </w:rPr>
              <w:t>hat opportunities exist for students to apply their learning to solve problems in a relevant and meaningful way?</w:t>
            </w:r>
          </w:p>
        </w:tc>
      </w:tr>
    </w:tbl>
    <w:p w14:paraId="4415BA49" w14:textId="77777777" w:rsidR="00C80A52" w:rsidRDefault="00C80A52">
      <w:pPr>
        <w:spacing w:line="240" w:lineRule="auto"/>
        <w:rPr>
          <w:rFonts w:ascii="Poppins" w:eastAsia="Poppins" w:hAnsi="Poppins" w:cs="Poppins"/>
          <w:sz w:val="18"/>
          <w:szCs w:val="18"/>
        </w:rPr>
      </w:pPr>
    </w:p>
    <w:tbl>
      <w:tblPr>
        <w:tblStyle w:val="a1"/>
        <w:tblW w:w="108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10890"/>
      </w:tblGrid>
      <w:tr w:rsidR="00C80A52" w14:paraId="472934AE" w14:textId="77777777" w:rsidTr="00563001">
        <w:trPr>
          <w:trHeight w:val="380"/>
        </w:trPr>
        <w:tc>
          <w:tcPr>
            <w:tcW w:w="10888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985D90" w14:textId="77777777" w:rsidR="00C80A52" w:rsidRDefault="00ED0BCF">
            <w:pPr>
              <w:widowControl w:val="0"/>
              <w:spacing w:after="200" w:line="240" w:lineRule="auto"/>
              <w:jc w:val="center"/>
              <w:rPr>
                <w:rFonts w:ascii="Poppins" w:eastAsia="Poppins" w:hAnsi="Poppins" w:cs="Poppins"/>
                <w:b/>
                <w:sz w:val="18"/>
                <w:szCs w:val="18"/>
              </w:rPr>
            </w:pPr>
            <w:r>
              <w:rPr>
                <w:rFonts w:ascii="Poppins" w:eastAsia="Poppins" w:hAnsi="Poppins" w:cs="Poppins"/>
                <w:b/>
                <w:sz w:val="18"/>
                <w:szCs w:val="18"/>
              </w:rPr>
              <w:lastRenderedPageBreak/>
              <w:t xml:space="preserve">Standards for Mathematical Practices: </w:t>
            </w:r>
          </w:p>
          <w:p w14:paraId="404A0506" w14:textId="77777777" w:rsidR="00C80A52" w:rsidRDefault="00ED0BCF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Which mathematical practices will you explicitly teach and/or ask students to engage with during this lesson/task? </w:t>
            </w:r>
          </w:p>
          <w:p w14:paraId="72AF9B5B" w14:textId="77777777" w:rsidR="00C80A52" w:rsidRDefault="00ED0BCF">
            <w:pPr>
              <w:widowControl w:val="0"/>
              <w:numPr>
                <w:ilvl w:val="0"/>
                <w:numId w:val="1"/>
              </w:numPr>
              <w:spacing w:after="200"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If the task you’ve selected doesn’t explicitly offer students the opportunity to engage with the intended SMP, what instructional strategies will you use to engage students in both the KAS content </w:t>
            </w:r>
            <w:r>
              <w:rPr>
                <w:rFonts w:ascii="Poppins" w:eastAsia="Poppins" w:hAnsi="Poppins" w:cs="Poppins"/>
                <w:i/>
                <w:sz w:val="18"/>
                <w:szCs w:val="18"/>
              </w:rPr>
              <w:t xml:space="preserve">and </w:t>
            </w:r>
            <w:r>
              <w:rPr>
                <w:rFonts w:ascii="Poppins" w:eastAsia="Poppins" w:hAnsi="Poppins" w:cs="Poppins"/>
                <w:sz w:val="18"/>
                <w:szCs w:val="18"/>
              </w:rPr>
              <w:t xml:space="preserve">practice standards? (e.g., adjusting the task and/or activities related to the task - group work, whole group discussion, </w:t>
            </w:r>
            <w:proofErr w:type="spellStart"/>
            <w:r>
              <w:rPr>
                <w:rFonts w:ascii="Poppins" w:eastAsia="Poppins" w:hAnsi="Poppins" w:cs="Poppins"/>
                <w:sz w:val="18"/>
                <w:szCs w:val="18"/>
              </w:rPr>
              <w:t>etc</w:t>
            </w:r>
            <w:proofErr w:type="spellEnd"/>
            <w:r>
              <w:rPr>
                <w:rFonts w:ascii="Poppins" w:eastAsia="Poppins" w:hAnsi="Poppins" w:cs="Poppins"/>
                <w:sz w:val="18"/>
                <w:szCs w:val="18"/>
              </w:rPr>
              <w:t>)</w:t>
            </w:r>
          </w:p>
          <w:p w14:paraId="55E7ECA4" w14:textId="77777777" w:rsidR="00C80A52" w:rsidRDefault="00C80A52">
            <w:pPr>
              <w:widowControl w:val="0"/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</w:p>
          <w:p w14:paraId="3D6E2FB6" w14:textId="77777777" w:rsidR="00C80A52" w:rsidRDefault="00ED0BCF">
            <w:pPr>
              <w:widowControl w:val="0"/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i/>
                <w:sz w:val="18"/>
                <w:szCs w:val="18"/>
              </w:rPr>
              <w:t>Teachers are encouraged to visit the front matter and/or Attending to the SMPs section of the KAS for Mathematics and the “Engaging the SMPs: Look-</w:t>
            </w:r>
            <w:proofErr w:type="spellStart"/>
            <w:r>
              <w:rPr>
                <w:rFonts w:ascii="Poppins" w:eastAsia="Poppins" w:hAnsi="Poppins" w:cs="Poppins"/>
                <w:i/>
                <w:sz w:val="18"/>
                <w:szCs w:val="18"/>
              </w:rPr>
              <w:t>fors</w:t>
            </w:r>
            <w:proofErr w:type="spellEnd"/>
            <w:r>
              <w:rPr>
                <w:rFonts w:ascii="Poppins" w:eastAsia="Poppins" w:hAnsi="Poppins" w:cs="Poppins"/>
                <w:i/>
                <w:sz w:val="18"/>
                <w:szCs w:val="18"/>
              </w:rPr>
              <w:t xml:space="preserve"> &amp; Question Stems” resource (located in the BCML Appendix) for additional guidance. </w:t>
            </w:r>
          </w:p>
        </w:tc>
      </w:tr>
      <w:tr w:rsidR="00C80A52" w14:paraId="3E6FF985" w14:textId="77777777" w:rsidTr="00563001">
        <w:trPr>
          <w:trHeight w:val="4020"/>
        </w:trPr>
        <w:tc>
          <w:tcPr>
            <w:tcW w:w="108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6CFB4" w14:textId="77777777" w:rsidR="00C80A52" w:rsidRDefault="00C80A52">
            <w:pPr>
              <w:rPr>
                <w:rFonts w:ascii="Poppins" w:eastAsia="Poppins" w:hAnsi="Poppins" w:cs="Poppins"/>
                <w:sz w:val="18"/>
                <w:szCs w:val="18"/>
              </w:rPr>
            </w:pPr>
          </w:p>
          <w:p w14:paraId="55EAF3B9" w14:textId="77777777" w:rsidR="00C80A52" w:rsidRDefault="00C80A52">
            <w:pPr>
              <w:rPr>
                <w:rFonts w:ascii="Poppins" w:eastAsia="Poppins" w:hAnsi="Poppins" w:cs="Poppins"/>
                <w:sz w:val="18"/>
                <w:szCs w:val="18"/>
              </w:rPr>
            </w:pPr>
          </w:p>
          <w:p w14:paraId="3194D70D" w14:textId="77777777" w:rsidR="00C80A52" w:rsidRDefault="00C80A52">
            <w:pPr>
              <w:rPr>
                <w:rFonts w:ascii="Poppins" w:eastAsia="Poppins" w:hAnsi="Poppins" w:cs="Poppins"/>
                <w:sz w:val="18"/>
                <w:szCs w:val="18"/>
              </w:rPr>
            </w:pPr>
          </w:p>
          <w:p w14:paraId="360AD535" w14:textId="77777777" w:rsidR="00C80A52" w:rsidRDefault="00C80A52">
            <w:pPr>
              <w:rPr>
                <w:rFonts w:ascii="Poppins" w:eastAsia="Poppins" w:hAnsi="Poppins" w:cs="Poppins"/>
                <w:sz w:val="18"/>
                <w:szCs w:val="18"/>
              </w:rPr>
            </w:pPr>
          </w:p>
          <w:p w14:paraId="58A210AB" w14:textId="77777777" w:rsidR="00C80A52" w:rsidRDefault="00C80A52">
            <w:pPr>
              <w:rPr>
                <w:rFonts w:ascii="Poppins" w:eastAsia="Poppins" w:hAnsi="Poppins" w:cs="Poppins"/>
                <w:sz w:val="18"/>
                <w:szCs w:val="18"/>
              </w:rPr>
            </w:pPr>
          </w:p>
          <w:p w14:paraId="5C6655B9" w14:textId="77777777" w:rsidR="00C80A52" w:rsidRDefault="00C80A52">
            <w:pPr>
              <w:rPr>
                <w:rFonts w:ascii="Poppins" w:eastAsia="Poppins" w:hAnsi="Poppins" w:cs="Poppins"/>
                <w:sz w:val="18"/>
                <w:szCs w:val="18"/>
              </w:rPr>
            </w:pPr>
          </w:p>
          <w:p w14:paraId="5CF37FBC" w14:textId="77777777" w:rsidR="00C80A52" w:rsidRDefault="00C80A52">
            <w:pPr>
              <w:rPr>
                <w:rFonts w:ascii="Poppins" w:eastAsia="Poppins" w:hAnsi="Poppins" w:cs="Poppins"/>
                <w:sz w:val="18"/>
                <w:szCs w:val="18"/>
              </w:rPr>
            </w:pPr>
          </w:p>
          <w:p w14:paraId="04782DDC" w14:textId="77777777" w:rsidR="00C80A52" w:rsidRDefault="00C80A52">
            <w:pPr>
              <w:rPr>
                <w:rFonts w:ascii="Poppins" w:eastAsia="Poppins" w:hAnsi="Poppins" w:cs="Poppins"/>
                <w:sz w:val="18"/>
                <w:szCs w:val="18"/>
              </w:rPr>
            </w:pPr>
          </w:p>
          <w:p w14:paraId="11840D3E" w14:textId="77777777" w:rsidR="00C80A52" w:rsidRDefault="00C80A52">
            <w:pPr>
              <w:rPr>
                <w:rFonts w:ascii="Poppins" w:eastAsia="Poppins" w:hAnsi="Poppins" w:cs="Poppins"/>
                <w:sz w:val="18"/>
                <w:szCs w:val="18"/>
              </w:rPr>
            </w:pPr>
          </w:p>
          <w:p w14:paraId="11FCBF78" w14:textId="77777777" w:rsidR="00C80A52" w:rsidRDefault="00C80A52">
            <w:pPr>
              <w:rPr>
                <w:rFonts w:ascii="Poppins" w:eastAsia="Poppins" w:hAnsi="Poppins" w:cs="Poppins"/>
                <w:sz w:val="18"/>
                <w:szCs w:val="18"/>
              </w:rPr>
            </w:pPr>
          </w:p>
          <w:p w14:paraId="284A1E0F" w14:textId="77777777" w:rsidR="00C80A52" w:rsidRDefault="00C80A52">
            <w:pPr>
              <w:rPr>
                <w:rFonts w:ascii="Poppins" w:eastAsia="Poppins" w:hAnsi="Poppins" w:cs="Poppins"/>
                <w:sz w:val="18"/>
                <w:szCs w:val="18"/>
              </w:rPr>
            </w:pPr>
          </w:p>
        </w:tc>
      </w:tr>
    </w:tbl>
    <w:p w14:paraId="68C43583" w14:textId="77777777" w:rsidR="00C80A52" w:rsidRDefault="00C80A52">
      <w:pPr>
        <w:spacing w:line="240" w:lineRule="auto"/>
      </w:pPr>
    </w:p>
    <w:sectPr w:rsidR="00C80A52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6A59C4" w14:textId="77777777" w:rsidR="00ED0BCF" w:rsidRDefault="00ED0BCF">
      <w:pPr>
        <w:spacing w:line="240" w:lineRule="auto"/>
      </w:pPr>
      <w:r>
        <w:separator/>
      </w:r>
    </w:p>
  </w:endnote>
  <w:endnote w:type="continuationSeparator" w:id="0">
    <w:p w14:paraId="60209EDA" w14:textId="77777777" w:rsidR="00ED0BCF" w:rsidRDefault="00ED0B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oppins SemiBold">
    <w:altName w:val="Cambria"/>
    <w:charset w:val="00"/>
    <w:family w:val="auto"/>
    <w:pitch w:val="default"/>
  </w:font>
  <w:font w:name="Poppin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BF5EEB" w14:textId="77777777" w:rsidR="00C80A52" w:rsidRDefault="00C80A52">
    <w:pPr>
      <w:spacing w:line="240" w:lineRule="auto"/>
      <w:rPr>
        <w:rFonts w:ascii="Poppins" w:eastAsia="Poppins" w:hAnsi="Poppins" w:cs="Poppins"/>
        <w:color w:val="25282A"/>
        <w:sz w:val="18"/>
        <w:szCs w:val="18"/>
      </w:rPr>
    </w:pPr>
  </w:p>
  <w:p w14:paraId="26A94F7D" w14:textId="77777777" w:rsidR="00C80A52" w:rsidRDefault="00ED0BCF">
    <w:pPr>
      <w:spacing w:line="240" w:lineRule="auto"/>
    </w:pPr>
    <w:r>
      <w:rPr>
        <w:rFonts w:ascii="Poppins" w:eastAsia="Poppins" w:hAnsi="Poppins" w:cs="Poppins"/>
        <w:color w:val="25282A"/>
        <w:sz w:val="18"/>
        <w:szCs w:val="18"/>
      </w:rPr>
      <w:t xml:space="preserve">© </w:t>
    </w:r>
    <w:r>
      <w:rPr>
        <w:rFonts w:ascii="Poppins" w:eastAsia="Poppins" w:hAnsi="Poppins" w:cs="Poppins"/>
        <w:i/>
        <w:color w:val="25282A"/>
        <w:sz w:val="18"/>
        <w:szCs w:val="18"/>
      </w:rPr>
      <w:t>Leading Educators 2019</w:t>
    </w:r>
    <w:r>
      <w:rPr>
        <w:rFonts w:ascii="Poppins" w:eastAsia="Poppins" w:hAnsi="Poppins" w:cs="Poppins"/>
        <w:color w:val="25282A"/>
        <w:sz w:val="18"/>
        <w:szCs w:val="18"/>
      </w:rPr>
      <w:tab/>
    </w:r>
    <w:r>
      <w:rPr>
        <w:rFonts w:ascii="Poppins" w:eastAsia="Poppins" w:hAnsi="Poppins" w:cs="Poppins"/>
        <w:color w:val="25282A"/>
        <w:sz w:val="18"/>
        <w:szCs w:val="18"/>
      </w:rPr>
      <w:tab/>
    </w:r>
    <w:r>
      <w:rPr>
        <w:rFonts w:ascii="Poppins" w:eastAsia="Poppins" w:hAnsi="Poppins" w:cs="Poppins"/>
        <w:color w:val="25282A"/>
        <w:sz w:val="18"/>
        <w:szCs w:val="18"/>
      </w:rPr>
      <w:tab/>
    </w:r>
    <w:r>
      <w:rPr>
        <w:rFonts w:ascii="Poppins" w:eastAsia="Poppins" w:hAnsi="Poppins" w:cs="Poppins"/>
        <w:color w:val="25282A"/>
        <w:sz w:val="18"/>
        <w:szCs w:val="18"/>
      </w:rPr>
      <w:tab/>
    </w:r>
    <w:r>
      <w:rPr>
        <w:rFonts w:ascii="Poppins" w:eastAsia="Poppins" w:hAnsi="Poppins" w:cs="Poppins"/>
        <w:color w:val="25282A"/>
        <w:sz w:val="18"/>
        <w:szCs w:val="18"/>
      </w:rPr>
      <w:tab/>
    </w:r>
    <w:r>
      <w:rPr>
        <w:rFonts w:ascii="Poppins" w:eastAsia="Poppins" w:hAnsi="Poppins" w:cs="Poppins"/>
        <w:color w:val="25282A"/>
        <w:sz w:val="18"/>
        <w:szCs w:val="18"/>
      </w:rPr>
      <w:tab/>
    </w:r>
    <w:r>
      <w:rPr>
        <w:rFonts w:ascii="Poppins" w:eastAsia="Poppins" w:hAnsi="Poppins" w:cs="Poppins"/>
        <w:color w:val="25282A"/>
        <w:sz w:val="18"/>
        <w:szCs w:val="18"/>
      </w:rPr>
      <w:tab/>
    </w:r>
    <w:r>
      <w:rPr>
        <w:rFonts w:ascii="Poppins" w:eastAsia="Poppins" w:hAnsi="Poppins" w:cs="Poppins"/>
        <w:color w:val="25282A"/>
        <w:sz w:val="18"/>
        <w:szCs w:val="18"/>
      </w:rPr>
      <w:tab/>
    </w:r>
    <w:r>
      <w:rPr>
        <w:rFonts w:ascii="Poppins" w:eastAsia="Poppins" w:hAnsi="Poppins" w:cs="Poppins"/>
        <w:color w:val="25282A"/>
        <w:sz w:val="18"/>
        <w:szCs w:val="18"/>
      </w:rPr>
      <w:tab/>
    </w:r>
    <w:r>
      <w:rPr>
        <w:rFonts w:ascii="Poppins" w:eastAsia="Poppins" w:hAnsi="Poppins" w:cs="Poppins"/>
        <w:color w:val="25282A"/>
        <w:sz w:val="18"/>
        <w:szCs w:val="18"/>
      </w:rPr>
      <w:tab/>
    </w:r>
    <w:r>
      <w:rPr>
        <w:rFonts w:ascii="Poppins" w:eastAsia="Poppins" w:hAnsi="Poppins" w:cs="Poppins"/>
        <w:color w:val="25282A"/>
        <w:sz w:val="18"/>
        <w:szCs w:val="18"/>
      </w:rPr>
      <w:tab/>
      <w:t xml:space="preserve">             </w:t>
    </w:r>
    <w:r>
      <w:rPr>
        <w:rFonts w:ascii="Poppins" w:eastAsia="Poppins" w:hAnsi="Poppins" w:cs="Poppins"/>
        <w:sz w:val="18"/>
        <w:szCs w:val="18"/>
      </w:rPr>
      <w:fldChar w:fldCharType="begin"/>
    </w:r>
    <w:r>
      <w:rPr>
        <w:rFonts w:ascii="Poppins" w:eastAsia="Poppins" w:hAnsi="Poppins" w:cs="Poppins"/>
        <w:sz w:val="18"/>
        <w:szCs w:val="18"/>
      </w:rPr>
      <w:instrText>PAGE</w:instrText>
    </w:r>
    <w:r>
      <w:rPr>
        <w:rFonts w:ascii="Poppins" w:eastAsia="Poppins" w:hAnsi="Poppins" w:cs="Poppins"/>
        <w:sz w:val="18"/>
        <w:szCs w:val="18"/>
      </w:rPr>
      <w:fldChar w:fldCharType="separate"/>
    </w:r>
    <w:r w:rsidR="00A6080D">
      <w:rPr>
        <w:rFonts w:ascii="Poppins" w:eastAsia="Poppins" w:hAnsi="Poppins" w:cs="Poppins"/>
        <w:noProof/>
        <w:sz w:val="18"/>
        <w:szCs w:val="18"/>
      </w:rPr>
      <w:t>1</w:t>
    </w:r>
    <w:r>
      <w:rPr>
        <w:rFonts w:ascii="Poppins" w:eastAsia="Poppins" w:hAnsi="Poppins" w:cs="Poppins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6903FD" w14:textId="77777777" w:rsidR="00ED0BCF" w:rsidRDefault="00ED0BCF">
      <w:pPr>
        <w:spacing w:line="240" w:lineRule="auto"/>
      </w:pPr>
      <w:r>
        <w:separator/>
      </w:r>
    </w:p>
  </w:footnote>
  <w:footnote w:type="continuationSeparator" w:id="0">
    <w:p w14:paraId="4D812A16" w14:textId="77777777" w:rsidR="00ED0BCF" w:rsidRDefault="00ED0BC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C99EF0" w14:textId="6424AFFC" w:rsidR="00C80A52" w:rsidRDefault="00ED452C">
    <w:pPr>
      <w:spacing w:line="240" w:lineRule="auto"/>
      <w:ind w:left="2340"/>
      <w:jc w:val="right"/>
      <w:rPr>
        <w:rFonts w:ascii="Poppins SemiBold" w:eastAsia="Poppins SemiBold" w:hAnsi="Poppins SemiBold" w:cs="Poppins SemiBold"/>
        <w:color w:val="2D68C4"/>
        <w:sz w:val="24"/>
        <w:szCs w:val="24"/>
        <w:highlight w:val="white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6EFB6B3D" wp14:editId="7ECF48F6">
          <wp:simplePos x="0" y="0"/>
          <wp:positionH relativeFrom="column">
            <wp:posOffset>916940</wp:posOffset>
          </wp:positionH>
          <wp:positionV relativeFrom="paragraph">
            <wp:posOffset>-75565</wp:posOffset>
          </wp:positionV>
          <wp:extent cx="1319213" cy="571500"/>
          <wp:effectExtent l="0" t="0" r="0" b="0"/>
          <wp:wrapSquare wrapText="bothSides" distT="0" distB="0" distL="114300" distR="114300"/>
          <wp:docPr id="1" name="image1.png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19213" cy="571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ED0BCF">
      <w:rPr>
        <w:rFonts w:ascii="Poppins SemiBold" w:eastAsia="Poppins SemiBold" w:hAnsi="Poppins SemiBold" w:cs="Poppins SemiBold"/>
        <w:color w:val="2D68C4"/>
        <w:sz w:val="24"/>
        <w:szCs w:val="24"/>
        <w:highlight w:val="white"/>
      </w:rPr>
      <w:t>[All Grades] KDE BCML</w:t>
    </w:r>
    <w:r>
      <w:rPr>
        <w:rFonts w:ascii="Poppins SemiBold" w:eastAsia="Poppins SemiBold" w:hAnsi="Poppins SemiBold" w:cs="Poppins SemiBold"/>
        <w:noProof/>
        <w:color w:val="2D68C4"/>
        <w:sz w:val="24"/>
        <w:szCs w:val="24"/>
      </w:rPr>
      <w:drawing>
        <wp:anchor distT="0" distB="0" distL="114300" distR="114300" simplePos="0" relativeHeight="251660288" behindDoc="0" locked="0" layoutInCell="1" allowOverlap="1" wp14:anchorId="66ADF533" wp14:editId="4303549C">
          <wp:simplePos x="0" y="0"/>
          <wp:positionH relativeFrom="margin">
            <wp:posOffset>-68580</wp:posOffset>
          </wp:positionH>
          <wp:positionV relativeFrom="margin">
            <wp:posOffset>-842645</wp:posOffset>
          </wp:positionV>
          <wp:extent cx="792480" cy="792480"/>
          <wp:effectExtent l="0" t="0" r="7620" b="7620"/>
          <wp:wrapSquare wrapText="bothSides"/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KDE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480" cy="792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7E310A9" w14:textId="77777777" w:rsidR="00C80A52" w:rsidRDefault="00ED0BCF">
    <w:pPr>
      <w:spacing w:line="240" w:lineRule="auto"/>
      <w:ind w:left="2340"/>
      <w:jc w:val="right"/>
      <w:rPr>
        <w:rFonts w:ascii="Poppins" w:eastAsia="Poppins" w:hAnsi="Poppins" w:cs="Poppins"/>
        <w:b/>
        <w:color w:val="0FC5AA"/>
        <w:sz w:val="20"/>
        <w:szCs w:val="20"/>
        <w:highlight w:val="white"/>
        <w:u w:val="single"/>
      </w:rPr>
    </w:pPr>
    <w:r>
      <w:rPr>
        <w:rFonts w:ascii="Poppins" w:eastAsia="Poppins" w:hAnsi="Poppins" w:cs="Poppins"/>
        <w:b/>
        <w:color w:val="2D68C4"/>
        <w:sz w:val="24"/>
        <w:szCs w:val="24"/>
        <w:highlight w:val="white"/>
        <w:u w:val="single"/>
      </w:rPr>
      <w:t>Topic 3</w:t>
    </w:r>
    <w:r>
      <w:rPr>
        <w:rFonts w:ascii="Poppins SemiBold" w:eastAsia="Poppins SemiBold" w:hAnsi="Poppins SemiBold" w:cs="Poppins SemiBold"/>
        <w:color w:val="2D68C4"/>
        <w:sz w:val="24"/>
        <w:szCs w:val="24"/>
        <w:highlight w:val="white"/>
      </w:rPr>
      <w:t>: Focusing on SMP 4</w:t>
    </w:r>
    <w:r>
      <w:rPr>
        <w:rFonts w:ascii="Poppins SemiBold" w:eastAsia="Poppins SemiBold" w:hAnsi="Poppins SemiBold" w:cs="Poppins SemiBold"/>
        <w:color w:val="2D68C4"/>
        <w:sz w:val="24"/>
        <w:szCs w:val="24"/>
        <w:highlight w:val="white"/>
      </w:rPr>
      <w:br/>
    </w:r>
    <w:r>
      <w:rPr>
        <w:rFonts w:ascii="Poppins" w:eastAsia="Poppins" w:hAnsi="Poppins" w:cs="Poppins"/>
        <w:b/>
        <w:color w:val="0FC5AA"/>
        <w:sz w:val="20"/>
        <w:szCs w:val="20"/>
        <w:highlight w:val="white"/>
        <w:u w:val="single"/>
      </w:rPr>
      <w:t>Handout 2</w:t>
    </w:r>
  </w:p>
  <w:p w14:paraId="0D031B6F" w14:textId="77777777" w:rsidR="00C80A52" w:rsidRDefault="00ED0BCF">
    <w:pPr>
      <w:spacing w:line="240" w:lineRule="auto"/>
      <w:ind w:left="2340"/>
      <w:jc w:val="right"/>
      <w:rPr>
        <w:rFonts w:ascii="Poppins" w:eastAsia="Poppins" w:hAnsi="Poppins" w:cs="Poppins"/>
        <w:b/>
      </w:rPr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4F00E1"/>
    <w:multiLevelType w:val="multilevel"/>
    <w:tmpl w:val="EE68BD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A52"/>
    <w:rsid w:val="00563001"/>
    <w:rsid w:val="00745C0F"/>
    <w:rsid w:val="00A6080D"/>
    <w:rsid w:val="00C80A52"/>
    <w:rsid w:val="00E859C2"/>
    <w:rsid w:val="00ED0BCF"/>
    <w:rsid w:val="00ED4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3360B3C"/>
  <w15:docId w15:val="{06D3C607-2426-4628-9281-94122CE46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D452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452C"/>
  </w:style>
  <w:style w:type="paragraph" w:styleId="Footer">
    <w:name w:val="footer"/>
    <w:basedOn w:val="Normal"/>
    <w:link w:val="FooterChar"/>
    <w:uiPriority w:val="99"/>
    <w:unhideWhenUsed/>
    <w:rsid w:val="00ED452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45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cessibility_x0020_Office xmlns="3a62de7d-ba57-4f43-9dae-9623ba637be0">OTL - Office of Teaching and Learning</Accessibility_x0020_Office>
    <Accessibility_x0020_Audit_x0020_Status xmlns="3a62de7d-ba57-4f43-9dae-9623ba637be0" xsi:nil="true"/>
    <Accessibility_x0020_Audience xmlns="3a62de7d-ba57-4f43-9dae-9623ba637be0" xsi:nil="true"/>
    <Accessibility_x0020_Status xmlns="3a62de7d-ba57-4f43-9dae-9623ba637be0">Accessible</Accessibility_x0020_Status>
    <Application_x0020_Type xmlns="3a62de7d-ba57-4f43-9dae-9623ba637be0" xsi:nil="true"/>
    <Application_x0020_Date xmlns="3a62de7d-ba57-4f43-9dae-9623ba637be0" xsi:nil="true"/>
    <Accessibility_x0020_Target_x0020_Date xmlns="3a62de7d-ba57-4f43-9dae-9623ba637be0" xsi:nil="true"/>
    <Application_x0020_Status xmlns="3a62de7d-ba57-4f43-9dae-9623ba637be0" xsi:nil="true"/>
    <Accessibility_x0020_Audit_x0020_Date xmlns="3a62de7d-ba57-4f43-9dae-9623ba637be0" xsi:nil="true"/>
    <RoutingRuleDescription xmlns="http://schemas.microsoft.com/sharepoint/v3" xsi:nil="true"/>
    <PublishingExpirationDate xmlns="http://schemas.microsoft.com/sharepoint/v3" xsi:nil="true"/>
    <PublishingStartDate xmlns="http://schemas.microsoft.com/sharepoint/v3" xsi:nil="true"/>
    <Publication_x0020_Date xmlns="3a62de7d-ba57-4f43-9dae-9623ba637be0">2020-08-17T04:00:00+00:00</Publication_x0020_Date>
    <Audience1 xmlns="3a62de7d-ba57-4f43-9dae-9623ba637be0"/>
    <_dlc_DocId xmlns="3a62de7d-ba57-4f43-9dae-9623ba637be0">KYED-536-982</_dlc_DocId>
    <_dlc_DocIdUrl xmlns="3a62de7d-ba57-4f43-9dae-9623ba637be0">
      <Url>https://www.education.ky.gov/curriculum/standards/kyacadstand/_layouts/15/DocIdRedir.aspx?ID=KYED-536-982</Url>
      <Description>KYED-536-982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KDE Document" ma:contentTypeID="0x0101001BEB557DBE01834EAB47A683706DCD5B001CB4B9AB93836842A61C86EAD5F20BA7" ma:contentTypeVersion="28" ma:contentTypeDescription="" ma:contentTypeScope="" ma:versionID="a5e9d2d4560c56b76a85f7f001e30a1a">
  <xsd:schema xmlns:xsd="http://www.w3.org/2001/XMLSchema" xmlns:xs="http://www.w3.org/2001/XMLSchema" xmlns:p="http://schemas.microsoft.com/office/2006/metadata/properties" xmlns:ns1="http://schemas.microsoft.com/sharepoint/v3" xmlns:ns2="3a62de7d-ba57-4f43-9dae-9623ba637be0" targetNamespace="http://schemas.microsoft.com/office/2006/metadata/properties" ma:root="true" ma:fieldsID="d25af71d3efa376147e2b7ca02f84c5e" ns1:_="" ns2:_="">
    <xsd:import namespace="http://schemas.microsoft.com/sharepoint/v3"/>
    <xsd:import namespace="3a62de7d-ba57-4f43-9dae-9623ba637be0"/>
    <xsd:element name="properties">
      <xsd:complexType>
        <xsd:sequence>
          <xsd:element name="documentManagement">
            <xsd:complexType>
              <xsd:all>
                <xsd:element ref="ns2:Accessibility_x0020_Office" minOccurs="0"/>
                <xsd:element ref="ns2:Accessibility_x0020_Audience" minOccurs="0"/>
                <xsd:element ref="ns2:Accessibility_x0020_Audit_x0020_Date" minOccurs="0"/>
                <xsd:element ref="ns2:Accessibility_x0020_Audit_x0020_Status" minOccurs="0"/>
                <xsd:element ref="ns2:Accessibility_x0020_Target_x0020_Date" minOccurs="0"/>
                <xsd:element ref="ns2:Accessibility_x0020_Status" minOccurs="0"/>
                <xsd:element ref="ns2:Application_x0020_Status" minOccurs="0"/>
                <xsd:element ref="ns2:Application_x0020_Type" minOccurs="0"/>
                <xsd:element ref="ns1:RoutingRuleDescription" minOccurs="0"/>
                <xsd:element ref="ns2:Audience1" minOccurs="0"/>
                <xsd:element ref="ns2:Publication_x0020_Date"/>
                <xsd:element ref="ns1:PublishingStartDate" minOccurs="0"/>
                <xsd:element ref="ns1:PublishingExpirationDate" minOccurs="0"/>
                <xsd:element ref="ns2:Application_x0020_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10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PublishingStartDate" ma:index="13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4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2de7d-ba57-4f43-9dae-9623ba637be0" elementFormDefault="qualified">
    <xsd:import namespace="http://schemas.microsoft.com/office/2006/documentManagement/types"/>
    <xsd:import namespace="http://schemas.microsoft.com/office/infopath/2007/PartnerControls"/>
    <xsd:element name="Accessibility_x0020_Office" ma:index="2" nillable="true" ma:displayName="Accessibility Office" ma:format="Dropdown" ma:internalName="Accessibility_x0020_Office">
      <xsd:simpleType>
        <xsd:restriction base="dms:Choice">
          <xsd:enumeration value="Commissioner's Office"/>
          <xsd:enumeration value="OAA - Office of Assessment and Accountability"/>
          <xsd:enumeration value="OCIS - Office of Continuous Improvement and Support"/>
          <xsd:enumeration value="OCTE - Career and Technical Education"/>
          <xsd:enumeration value="OELE- Office of Educator Licensure and Effectiveness"/>
          <xsd:enumeration value="OET - Office of Education Technology"/>
          <xsd:enumeration value="OFO - Office of Finance and Operations"/>
          <xsd:enumeration value="OLS - Office of Legal Services"/>
          <xsd:enumeration value="OSEEL - Office of Special Education and Early Learning"/>
          <xsd:enumeration value="OTL - Office of Teaching and Learning"/>
        </xsd:restriction>
      </xsd:simpleType>
    </xsd:element>
    <xsd:element name="Accessibility_x0020_Audience" ma:index="3" nillable="true" ma:displayName="Accessibility Audience" ma:format="Dropdown" ma:internalName="Accessibility_x0020_Audience">
      <xsd:simpleType>
        <xsd:restriction base="dms:Choice">
          <xsd:enumeration value="Public"/>
          <xsd:enumeration value="District"/>
        </xsd:restriction>
      </xsd:simpleType>
    </xsd:element>
    <xsd:element name="Accessibility_x0020_Audit_x0020_Date" ma:index="4" nillable="true" ma:displayName="Accessibility Audit Date" ma:format="DateOnly" ma:internalName="Accessibility_x0020_Audit_x0020_Date">
      <xsd:simpleType>
        <xsd:restriction base="dms:DateTime"/>
      </xsd:simpleType>
    </xsd:element>
    <xsd:element name="Accessibility_x0020_Audit_x0020_Status" ma:index="5" nillable="true" ma:displayName="Accessibility Audit Status" ma:format="Dropdown" ma:internalName="Accessibility_x0020_Audit_x0020_Status">
      <xsd:simpleType>
        <xsd:restriction base="dms:Choice">
          <xsd:enumeration value="OK"/>
          <xsd:enumeration value="Minor"/>
          <xsd:enumeration value="Major"/>
        </xsd:restriction>
      </xsd:simpleType>
    </xsd:element>
    <xsd:element name="Accessibility_x0020_Target_x0020_Date" ma:index="6" nillable="true" ma:displayName="Accessibility Target Date" ma:format="DateOnly" ma:internalName="Accessibility_x0020_Target_x0020_Date">
      <xsd:simpleType>
        <xsd:restriction base="dms:DateTime"/>
      </xsd:simpleType>
    </xsd:element>
    <xsd:element name="Accessibility_x0020_Status" ma:index="7" nillable="true" ma:displayName="Accessibility Status" ma:format="Dropdown" ma:internalName="Accessibility_x0020_Status1" ma:readOnly="false">
      <xsd:simpleType>
        <xsd:restriction base="dms:Choice">
          <xsd:enumeration value="Remove"/>
          <xsd:enumeration value="Remediate"/>
          <xsd:enumeration value="Update"/>
          <xsd:enumeration value="Accessible"/>
          <xsd:enumeration value="Undue Burden"/>
          <xsd:enumeration value="Not KDE Owned"/>
        </xsd:restriction>
      </xsd:simpleType>
    </xsd:element>
    <xsd:element name="Application_x0020_Status" ma:index="8" nillable="true" ma:displayName="Application Status" ma:format="Dropdown" ma:internalName="Application_x0020_Status">
      <xsd:simpleType>
        <xsd:restriction base="dms:Choice">
          <xsd:enumeration value="Approved"/>
          <xsd:enumeration value="Denied"/>
        </xsd:restriction>
      </xsd:simpleType>
    </xsd:element>
    <xsd:element name="Application_x0020_Type" ma:index="9" nillable="true" ma:displayName="Application Type" ma:format="Dropdown" ma:internalName="Application_x0020_Type">
      <xsd:simpleType>
        <xsd:restriction base="dms:Choice">
          <xsd:enumeration value="Original"/>
          <xsd:enumeration value="Amendment"/>
          <xsd:enumeration value="Year 3 Budget"/>
          <xsd:enumeration value="Addendum"/>
          <xsd:enumeration value="Budget Update"/>
        </xsd:restriction>
      </xsd:simpleType>
    </xsd:element>
    <xsd:element name="Audience1" ma:index="11" nillable="true" ma:displayName="Audience" ma:list="{9f2d68f0-dc6b-4e06-b19d-b8792e70efe6}" ma:internalName="Audience1" ma:showField="Title" ma:web="3a62de7d-ba57-4f43-9dae-9623ba637b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Date" ma:index="12" ma:displayName="Publication Date" ma:default="[today]" ma:format="DateOnly" ma:internalName="Publication_x0020_Date" ma:readOnly="false">
      <xsd:simpleType>
        <xsd:restriction base="dms:DateTime"/>
      </xsd:simpleType>
    </xsd:element>
    <xsd:element name="Application_x0020_Date" ma:index="15" nillable="true" ma:displayName="Application Date" ma:format="DateOnly" ma:internalName="Application_x0020_Date">
      <xsd:simpleType>
        <xsd:restriction base="dms:DateTime"/>
      </xsd:simpleType>
    </xsd:element>
    <xsd:element name="_dlc_DocId" ma:index="2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94E1CDA-5EEA-47C3-929B-6C1853E0087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5AD94AF-8F9E-4DCA-A43A-D21EAF61A8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151C1E-8C9F-4556-9405-8FB248C1709A}"/>
</file>

<file path=customXml/itemProps4.xml><?xml version="1.0" encoding="utf-8"?>
<ds:datastoreItem xmlns:ds="http://schemas.openxmlformats.org/officeDocument/2006/customXml" ds:itemID="{87A93475-93BB-4E0D-84F4-29527E0F21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Kentucky Department of Education</Company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Doyle, Maggie - Division of Academic Program Standards</cp:lastModifiedBy>
  <cp:revision>6</cp:revision>
  <dcterms:created xsi:type="dcterms:W3CDTF">2020-07-20T19:00:00Z</dcterms:created>
  <dcterms:modified xsi:type="dcterms:W3CDTF">2020-07-27T16:16:00Z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0x0101001BEB557DBE01834EAB47A683706DCD5B001CB4B9AB93836842A61C86EAD5F20BA7</vt:lpwstr>
  </property>
  <property fmtid="{D5CDD505-2E9C-101B-9397-08002B2CF9AE}" pid="3" name="_dlc_DocIdItemGuid">
    <vt:lpwstr>f8bc4c1e-9da5-4ec4-b2f5-4f10fa7f387c</vt:lpwstr>
  </property>
</Properties>
</file>