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D92C" w14:textId="77777777" w:rsidR="007611C3" w:rsidRDefault="001F2B8B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Poppins SemiBold" w:eastAsia="Poppins SemiBold" w:hAnsi="Poppins SemiBold" w:cs="Poppins SemiBold"/>
          <w:color w:val="2D68C4"/>
          <w:highlight w:val="white"/>
        </w:rPr>
        <w:t>Session 9: Student Progress</w:t>
      </w:r>
    </w:p>
    <w:p w14:paraId="763D1F09" w14:textId="77777777" w:rsidR="007611C3" w:rsidRDefault="001F2B8B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</w:rPr>
        <w:t>Do Now</w:t>
      </w:r>
    </w:p>
    <w:p w14:paraId="21DC8300" w14:textId="77777777" w:rsidR="007611C3" w:rsidRDefault="001F2B8B">
      <w:pPr>
        <w:spacing w:after="200" w:line="276" w:lineRule="auto"/>
        <w:rPr>
          <w:rFonts w:ascii="Poppins" w:eastAsia="Poppins" w:hAnsi="Poppins" w:cs="Poppins"/>
          <w:b/>
          <w:color w:val="25282A"/>
          <w:sz w:val="22"/>
          <w:szCs w:val="22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Think of one student in your class who had a “bright spot” learning moment this week. Take a moment to jot your reflection and share a positive take-away about their learning with a partner.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7611C3" w14:paraId="7155F9EC" w14:textId="77777777" w:rsidTr="00BE6460">
        <w:trPr>
          <w:trHeight w:hRule="exact" w:val="1728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4BAD" w14:textId="77777777" w:rsidR="007611C3" w:rsidRDefault="0076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0A61B6EB" w14:textId="77777777" w:rsidR="007611C3" w:rsidRDefault="007611C3">
      <w:pPr>
        <w:rPr>
          <w:rFonts w:ascii="Poppins" w:eastAsia="Poppins" w:hAnsi="Poppins" w:cs="Poppins"/>
          <w:b/>
          <w:color w:val="25282A"/>
          <w:sz w:val="22"/>
          <w:szCs w:val="22"/>
        </w:rPr>
      </w:pPr>
    </w:p>
    <w:p w14:paraId="2B928813" w14:textId="77777777" w:rsidR="007611C3" w:rsidRDefault="001F2B8B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1: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Preparing to Analyze Student Work and </w:t>
      </w: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2: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Analyzing Student Work (30 min)</w:t>
      </w:r>
    </w:p>
    <w:p w14:paraId="2F7B1858" w14:textId="77777777" w:rsidR="007611C3" w:rsidRDefault="001F2B8B">
      <w:pPr>
        <w:numPr>
          <w:ilvl w:val="0"/>
          <w:numId w:val="3"/>
        </w:numPr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Gather your task, student samples, and student work analysis tools. </w:t>
      </w:r>
      <w:r>
        <w:rPr>
          <w:rFonts w:ascii="Poppins" w:eastAsia="Poppins" w:hAnsi="Poppins" w:cs="Poppins"/>
          <w:b/>
          <w:color w:val="25282A"/>
          <w:sz w:val="18"/>
          <w:szCs w:val="18"/>
        </w:rPr>
        <w:t>Handout 2</w:t>
      </w:r>
      <w:r>
        <w:rPr>
          <w:rFonts w:ascii="Poppins" w:eastAsia="Poppins" w:hAnsi="Poppins" w:cs="Poppins"/>
          <w:color w:val="25282A"/>
          <w:sz w:val="18"/>
          <w:szCs w:val="18"/>
        </w:rPr>
        <w:t xml:space="preserve"> provides a task internalization tool where you can utilize the guiding questions from the KAS for Mathematics Assignment Review Protocol to determine what evidence of student mastery should look like.</w:t>
      </w:r>
    </w:p>
    <w:p w14:paraId="2061C0D6" w14:textId="77777777" w:rsidR="007611C3" w:rsidRDefault="001F2B8B" w:rsidP="00BE6460">
      <w:pPr>
        <w:numPr>
          <w:ilvl w:val="0"/>
          <w:numId w:val="3"/>
        </w:numPr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You may choose to utilize the following structure when collaborating with your partner to complete these steps: </w:t>
      </w:r>
    </w:p>
    <w:p w14:paraId="612F958D" w14:textId="77777777" w:rsidR="007611C3" w:rsidRDefault="001F2B8B">
      <w:pPr>
        <w:widowControl w:val="0"/>
        <w:spacing w:before="200" w:line="312" w:lineRule="auto"/>
        <w:ind w:left="1440" w:right="2430"/>
        <w:rPr>
          <w:rFonts w:ascii="Poppins" w:eastAsia="Poppins" w:hAnsi="Poppins" w:cs="Poppins"/>
          <w:b/>
          <w:sz w:val="18"/>
          <w:szCs w:val="18"/>
        </w:rPr>
      </w:pPr>
      <w:r>
        <w:rPr>
          <w:rFonts w:ascii="Poppins" w:eastAsia="Poppins" w:hAnsi="Poppins" w:cs="Poppins"/>
          <w:b/>
          <w:sz w:val="18"/>
          <w:szCs w:val="18"/>
        </w:rPr>
        <w:t>15 min: Analyze Partner 1 samples</w:t>
      </w:r>
    </w:p>
    <w:p w14:paraId="79892AD2" w14:textId="77777777" w:rsidR="007611C3" w:rsidRDefault="001F2B8B">
      <w:pPr>
        <w:widowControl w:val="0"/>
        <w:numPr>
          <w:ilvl w:val="0"/>
          <w:numId w:val="4"/>
        </w:numPr>
        <w:spacing w:line="312" w:lineRule="auto"/>
        <w:ind w:right="2430" w:firstLine="450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Partner 1 shares intended outcome and exemplar student response.</w:t>
      </w:r>
    </w:p>
    <w:p w14:paraId="1E3CAA02" w14:textId="77777777" w:rsidR="007611C3" w:rsidRDefault="001F2B8B">
      <w:pPr>
        <w:widowControl w:val="0"/>
        <w:numPr>
          <w:ilvl w:val="0"/>
          <w:numId w:val="4"/>
        </w:numPr>
        <w:spacing w:line="312" w:lineRule="auto"/>
        <w:ind w:right="2430" w:firstLine="450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Together, partners examine and annotate the student work.</w:t>
      </w:r>
    </w:p>
    <w:p w14:paraId="1852E1FA" w14:textId="77777777" w:rsidR="007611C3" w:rsidRDefault="001F2B8B">
      <w:pPr>
        <w:widowControl w:val="0"/>
        <w:numPr>
          <w:ilvl w:val="0"/>
          <w:numId w:val="4"/>
        </w:numPr>
        <w:spacing w:line="312" w:lineRule="auto"/>
        <w:ind w:left="2160" w:right="2430" w:hanging="270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Together, partners identify evidence of strength, growth, trends, and next steps on the student work analysis form.</w:t>
      </w:r>
    </w:p>
    <w:p w14:paraId="3EB3DFBB" w14:textId="55C258D0" w:rsidR="007611C3" w:rsidRDefault="001F2B8B">
      <w:pPr>
        <w:widowControl w:val="0"/>
        <w:ind w:left="1440" w:right="2430"/>
        <w:rPr>
          <w:rFonts w:ascii="Poppins" w:eastAsia="Poppins" w:hAnsi="Poppins" w:cs="Poppins"/>
          <w:b/>
          <w:sz w:val="18"/>
          <w:szCs w:val="18"/>
        </w:rPr>
      </w:pPr>
      <w:r>
        <w:rPr>
          <w:rFonts w:ascii="Poppins" w:eastAsia="Poppins" w:hAnsi="Poppins" w:cs="Poppins"/>
          <w:b/>
          <w:sz w:val="18"/>
          <w:szCs w:val="18"/>
        </w:rPr>
        <w:t>15 min: Repeat for Partner 2</w:t>
      </w:r>
      <w:r>
        <w:rPr>
          <w:rFonts w:ascii="Poppins" w:eastAsia="Poppins" w:hAnsi="Poppins" w:cs="Poppins"/>
          <w:b/>
          <w:sz w:val="18"/>
          <w:szCs w:val="18"/>
        </w:rPr>
        <w:br/>
      </w:r>
    </w:p>
    <w:p w14:paraId="159ACD59" w14:textId="77777777" w:rsidR="007611C3" w:rsidRDefault="001F2B8B">
      <w:pPr>
        <w:widowControl w:val="0"/>
        <w:spacing w:line="312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u w:val="single"/>
        </w:rPr>
        <w:t>Step 1</w:t>
      </w:r>
      <w:r>
        <w:rPr>
          <w:rFonts w:ascii="Poppins" w:eastAsia="Poppins" w:hAnsi="Poppins" w:cs="Poppins"/>
          <w:b/>
          <w:sz w:val="20"/>
          <w:szCs w:val="20"/>
        </w:rPr>
        <w:t xml:space="preserve"> and </w:t>
      </w:r>
      <w:r>
        <w:rPr>
          <w:rFonts w:ascii="Poppins" w:eastAsia="Poppins" w:hAnsi="Poppins" w:cs="Poppins"/>
          <w:b/>
          <w:sz w:val="20"/>
          <w:szCs w:val="20"/>
          <w:u w:val="single"/>
        </w:rPr>
        <w:t>Step 2</w:t>
      </w:r>
      <w:r>
        <w:rPr>
          <w:rFonts w:ascii="Poppins" w:eastAsia="Poppins" w:hAnsi="Poppins" w:cs="Poppins"/>
          <w:b/>
          <w:sz w:val="20"/>
          <w:szCs w:val="20"/>
        </w:rPr>
        <w:t xml:space="preserve"> Implications</w:t>
      </w:r>
    </w:p>
    <w:p w14:paraId="6EC47C96" w14:textId="77777777" w:rsidR="007611C3" w:rsidRDefault="001F2B8B">
      <w:pPr>
        <w:spacing w:before="200"/>
        <w:rPr>
          <w:rFonts w:ascii="Poppins" w:eastAsia="Poppins" w:hAnsi="Poppins" w:cs="Poppins"/>
          <w:b/>
          <w:color w:val="25282A"/>
          <w:sz w:val="22"/>
          <w:szCs w:val="22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Take a moment to jot your reflections and prepare to share whole group.</w:t>
      </w:r>
    </w:p>
    <w:p w14:paraId="02EC7B9C" w14:textId="77777777" w:rsidR="007611C3" w:rsidRDefault="001F2B8B" w:rsidP="001F2B8B">
      <w:pPr>
        <w:widowControl w:val="0"/>
        <w:numPr>
          <w:ilvl w:val="0"/>
          <w:numId w:val="5"/>
        </w:num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Overall, what strengths and gaps did you observe in your students’ work?</w:t>
      </w:r>
    </w:p>
    <w:p w14:paraId="454EBF8D" w14:textId="77777777" w:rsidR="007611C3" w:rsidRDefault="001F2B8B" w:rsidP="001F2B8B">
      <w:pPr>
        <w:widowControl w:val="0"/>
        <w:numPr>
          <w:ilvl w:val="0"/>
          <w:numId w:val="5"/>
        </w:num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Considering our content cycle look-</w:t>
      </w:r>
      <w:proofErr w:type="spellStart"/>
      <w:r>
        <w:rPr>
          <w:rFonts w:ascii="Poppins" w:eastAsia="Poppins" w:hAnsi="Poppins" w:cs="Poppins"/>
          <w:sz w:val="18"/>
          <w:szCs w:val="18"/>
        </w:rPr>
        <w:t>fors</w:t>
      </w:r>
      <w:proofErr w:type="spellEnd"/>
      <w:r>
        <w:rPr>
          <w:rFonts w:ascii="Poppins" w:eastAsia="Poppins" w:hAnsi="Poppins" w:cs="Poppins"/>
          <w:sz w:val="18"/>
          <w:szCs w:val="18"/>
        </w:rPr>
        <w:t>, how might planning and practice have contributed to the strengths and areas for growth?</w:t>
      </w:r>
    </w:p>
    <w:p w14:paraId="791760AF" w14:textId="77777777" w:rsidR="007611C3" w:rsidRDefault="001F2B8B" w:rsidP="001F2B8B">
      <w:pPr>
        <w:widowControl w:val="0"/>
        <w:numPr>
          <w:ilvl w:val="0"/>
          <w:numId w:val="5"/>
        </w:numPr>
        <w:spacing w:after="200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How can you transfer what you learned from your sub-group to the larger class?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7611C3" w14:paraId="3EA229E8" w14:textId="77777777" w:rsidTr="001F2B8B">
        <w:trPr>
          <w:trHeight w:val="1728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0FF7" w14:textId="77777777" w:rsidR="007611C3" w:rsidRDefault="007611C3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6E2E8571" w14:textId="1E047595" w:rsidR="007611C3" w:rsidRDefault="001F2B8B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3: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Responding to Student Work (20 min)</w:t>
      </w:r>
    </w:p>
    <w:p w14:paraId="09C229EE" w14:textId="77777777" w:rsidR="007611C3" w:rsidRDefault="001F2B8B">
      <w:pPr>
        <w:spacing w:after="200" w:line="276" w:lineRule="auto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Use ideas and insights gained in the protocol to plan instructional next steps. </w:t>
      </w:r>
      <w:r>
        <w:rPr>
          <w:rFonts w:ascii="Poppins" w:eastAsia="Poppins" w:hAnsi="Poppins" w:cs="Poppins"/>
          <w:b/>
          <w:color w:val="25282A"/>
          <w:sz w:val="18"/>
          <w:szCs w:val="18"/>
        </w:rPr>
        <w:t>Handout 2</w:t>
      </w:r>
      <w:r>
        <w:rPr>
          <w:rFonts w:ascii="Poppins" w:eastAsia="Poppins" w:hAnsi="Poppins" w:cs="Poppins"/>
          <w:color w:val="25282A"/>
          <w:sz w:val="18"/>
          <w:szCs w:val="18"/>
        </w:rPr>
        <w:t xml:space="preserve"> has planning tools you can utilize to capture different instructional strategies you want to try in order to bridge learning gaps for different subgroups of students. Consider:</w:t>
      </w:r>
    </w:p>
    <w:p w14:paraId="78CF35E5" w14:textId="77777777" w:rsidR="007611C3" w:rsidRDefault="001F2B8B">
      <w:pPr>
        <w:numPr>
          <w:ilvl w:val="0"/>
          <w:numId w:val="2"/>
        </w:numPr>
        <w:spacing w:after="200" w:line="276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How will this reteach be new and different? What specific instructional strategies will you use?</w:t>
      </w:r>
    </w:p>
    <w:p w14:paraId="4053995D" w14:textId="77777777" w:rsidR="007611C3" w:rsidRDefault="001F2B8B">
      <w:pPr>
        <w:numPr>
          <w:ilvl w:val="0"/>
          <w:numId w:val="2"/>
        </w:numPr>
        <w:spacing w:line="276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End with a plan for re-assessment.</w:t>
      </w:r>
    </w:p>
    <w:p w14:paraId="622F5256" w14:textId="77777777" w:rsidR="007611C3" w:rsidRDefault="007611C3">
      <w:pPr>
        <w:rPr>
          <w:rFonts w:ascii="Poppins" w:eastAsia="Poppins" w:hAnsi="Poppins" w:cs="Poppins"/>
          <w:color w:val="25282A"/>
          <w:sz w:val="18"/>
          <w:szCs w:val="18"/>
        </w:rPr>
      </w:pPr>
    </w:p>
    <w:p w14:paraId="4C768701" w14:textId="77777777" w:rsidR="007611C3" w:rsidRDefault="007611C3">
      <w:pPr>
        <w:rPr>
          <w:rFonts w:ascii="Poppins" w:eastAsia="Poppins" w:hAnsi="Poppins" w:cs="Poppins"/>
          <w:color w:val="25282A"/>
          <w:sz w:val="18"/>
          <w:szCs w:val="18"/>
        </w:rPr>
      </w:pPr>
    </w:p>
    <w:p w14:paraId="7A26226D" w14:textId="77777777" w:rsidR="007611C3" w:rsidRDefault="001F2B8B">
      <w:pPr>
        <w:keepNext/>
        <w:keepLines/>
        <w:tabs>
          <w:tab w:val="right" w:pos="9360"/>
        </w:tabs>
        <w:spacing w:after="200"/>
        <w:rPr>
          <w:rFonts w:ascii="Poppins" w:eastAsia="Poppins" w:hAnsi="Poppins" w:cs="Poppins"/>
          <w:b/>
          <w:i/>
          <w:color w:val="25282A"/>
          <w:sz w:val="20"/>
          <w:szCs w:val="20"/>
          <w:u w:val="single"/>
        </w:rPr>
      </w:pPr>
      <w:r>
        <w:rPr>
          <w:rFonts w:ascii="Poppins" w:eastAsia="Poppins" w:hAnsi="Poppins" w:cs="Poppins"/>
          <w:b/>
          <w:i/>
          <w:color w:val="25282A"/>
          <w:sz w:val="20"/>
          <w:szCs w:val="20"/>
          <w:u w:val="single"/>
        </w:rPr>
        <w:t>Topic 1 Closing Reflection</w:t>
      </w:r>
    </w:p>
    <w:p w14:paraId="2403B379" w14:textId="77777777" w:rsidR="007611C3" w:rsidRDefault="001F2B8B">
      <w:pPr>
        <w:spacing w:after="200"/>
        <w:rPr>
          <w:rFonts w:ascii="Poppins" w:eastAsia="Poppins" w:hAnsi="Poppins" w:cs="Poppins"/>
          <w:color w:val="25282A"/>
          <w:sz w:val="16"/>
          <w:szCs w:val="16"/>
        </w:rPr>
      </w:pPr>
      <w:r>
        <w:rPr>
          <w:rFonts w:ascii="Poppins" w:eastAsia="Poppins" w:hAnsi="Poppins" w:cs="Poppins"/>
          <w:i/>
          <w:sz w:val="16"/>
          <w:szCs w:val="16"/>
          <w:highlight w:val="white"/>
        </w:rPr>
        <w:t>Facilitators may choose to collect this page as an artifact for individual coaching sessions.</w:t>
      </w:r>
    </w:p>
    <w:p w14:paraId="3D08F6CF" w14:textId="77777777" w:rsidR="007611C3" w:rsidRDefault="001F2B8B">
      <w:pPr>
        <w:keepNext/>
        <w:keepLines/>
        <w:tabs>
          <w:tab w:val="right" w:pos="9360"/>
        </w:tabs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Jot your reflections.</w:t>
      </w:r>
    </w:p>
    <w:p w14:paraId="1BF1327A" w14:textId="77777777" w:rsidR="007611C3" w:rsidRDefault="001F2B8B">
      <w:pPr>
        <w:widowControl w:val="0"/>
        <w:numPr>
          <w:ilvl w:val="0"/>
          <w:numId w:val="1"/>
        </w:numPr>
        <w:spacing w:before="80" w:after="200"/>
        <w:rPr>
          <w:rFonts w:ascii="Poppins" w:eastAsia="Poppins" w:hAnsi="Poppins" w:cs="Poppins"/>
          <w:b/>
          <w:color w:val="25282A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 xml:space="preserve">How has your learning and planning impacted student achievement? </w:t>
      </w:r>
    </w:p>
    <w:p w14:paraId="0F2A2C8B" w14:textId="77777777" w:rsidR="007611C3" w:rsidRDefault="001F2B8B">
      <w:pPr>
        <w:widowControl w:val="0"/>
        <w:numPr>
          <w:ilvl w:val="0"/>
          <w:numId w:val="1"/>
        </w:numPr>
        <w:spacing w:after="200"/>
        <w:rPr>
          <w:rFonts w:ascii="Poppins" w:eastAsia="Poppins" w:hAnsi="Poppins" w:cs="Poppins"/>
          <w:b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Considering the focus of this content cycle, how can we refine our planning and instruction to continue supporting student progress toward the overall intended learning?</w:t>
      </w:r>
    </w:p>
    <w:p w14:paraId="5FFB8924" w14:textId="77777777" w:rsidR="007611C3" w:rsidRDefault="001F2B8B">
      <w:pPr>
        <w:widowControl w:val="0"/>
        <w:numPr>
          <w:ilvl w:val="0"/>
          <w:numId w:val="1"/>
        </w:numPr>
        <w:spacing w:after="200"/>
        <w:rPr>
          <w:rFonts w:ascii="Poppins" w:eastAsia="Poppins" w:hAnsi="Poppins" w:cs="Poppins"/>
          <w:b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In what ways can we leverage our teams to support the diverse needs of our students? </w:t>
      </w:r>
      <w:r>
        <w:rPr>
          <w:rFonts w:ascii="Poppins" w:eastAsia="Poppins" w:hAnsi="Poppins" w:cs="Poppins"/>
          <w:sz w:val="18"/>
          <w:szCs w:val="18"/>
        </w:rPr>
        <w:t>What practices might you adopt from other teachers’ plans?</w:t>
      </w:r>
    </w:p>
    <w:p w14:paraId="4FC91034" w14:textId="77777777" w:rsidR="007611C3" w:rsidRDefault="001F2B8B">
      <w:pPr>
        <w:widowControl w:val="0"/>
        <w:numPr>
          <w:ilvl w:val="0"/>
          <w:numId w:val="1"/>
        </w:numPr>
        <w:spacing w:after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What other support do you need to continue to refine your practice in this area?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7611C3" w14:paraId="0AFDF575" w14:textId="77777777" w:rsidTr="00BE6460">
        <w:trPr>
          <w:trHeight w:val="37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8AD5" w14:textId="77777777" w:rsidR="007611C3" w:rsidRDefault="007611C3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4BBE4885" w14:textId="77777777" w:rsidR="007611C3" w:rsidRDefault="007611C3">
      <w:pPr>
        <w:rPr>
          <w:rFonts w:ascii="Poppins" w:eastAsia="Poppins" w:hAnsi="Poppins" w:cs="Poppins"/>
          <w:b/>
          <w:color w:val="25282A"/>
          <w:sz w:val="22"/>
          <w:szCs w:val="22"/>
        </w:rPr>
      </w:pPr>
      <w:bookmarkStart w:id="0" w:name="_GoBack"/>
      <w:bookmarkEnd w:id="0"/>
    </w:p>
    <w:sectPr w:rsidR="007611C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6BCC8" w14:textId="77777777" w:rsidR="00515EFB" w:rsidRDefault="001F2B8B">
      <w:r>
        <w:separator/>
      </w:r>
    </w:p>
  </w:endnote>
  <w:endnote w:type="continuationSeparator" w:id="0">
    <w:p w14:paraId="1229B39A" w14:textId="77777777" w:rsidR="00515EFB" w:rsidRDefault="001F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1EFA1" w14:textId="77777777" w:rsidR="007611C3" w:rsidRDefault="007611C3">
    <w:pPr>
      <w:rPr>
        <w:rFonts w:ascii="Poppins" w:eastAsia="Poppins" w:hAnsi="Poppins" w:cs="Poppins"/>
        <w:color w:val="25282A"/>
        <w:sz w:val="18"/>
        <w:szCs w:val="18"/>
      </w:rPr>
    </w:pPr>
  </w:p>
  <w:p w14:paraId="5F62C2B0" w14:textId="77777777" w:rsidR="007611C3" w:rsidRDefault="001F2B8B">
    <w:pPr>
      <w:rPr>
        <w:rFonts w:ascii="Poppins" w:eastAsia="Poppins" w:hAnsi="Poppins" w:cs="Poppins"/>
        <w:sz w:val="18"/>
        <w:szCs w:val="18"/>
      </w:rPr>
    </w:pPr>
    <w:r>
      <w:rPr>
        <w:rFonts w:ascii="Poppins" w:eastAsia="Poppins" w:hAnsi="Poppins" w:cs="Poppins"/>
        <w:color w:val="25282A"/>
        <w:sz w:val="18"/>
        <w:szCs w:val="18"/>
      </w:rPr>
      <w:t xml:space="preserve">© </w:t>
    </w:r>
    <w:r>
      <w:rPr>
        <w:rFonts w:ascii="Poppins" w:eastAsia="Poppins" w:hAnsi="Poppins" w:cs="Poppins"/>
        <w:i/>
        <w:color w:val="25282A"/>
        <w:sz w:val="18"/>
        <w:szCs w:val="18"/>
      </w:rPr>
      <w:t>Leading Educators 2019</w:t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  <w:t xml:space="preserve">             </w:t>
    </w:r>
    <w:r>
      <w:rPr>
        <w:rFonts w:ascii="Poppins" w:eastAsia="Poppins" w:hAnsi="Poppins" w:cs="Poppins"/>
        <w:sz w:val="18"/>
        <w:szCs w:val="18"/>
      </w:rPr>
      <w:fldChar w:fldCharType="begin"/>
    </w:r>
    <w:r>
      <w:rPr>
        <w:rFonts w:ascii="Poppins" w:eastAsia="Poppins" w:hAnsi="Poppins" w:cs="Poppins"/>
        <w:sz w:val="18"/>
        <w:szCs w:val="18"/>
      </w:rPr>
      <w:instrText>PAGE</w:instrText>
    </w:r>
    <w:r>
      <w:rPr>
        <w:rFonts w:ascii="Poppins" w:eastAsia="Poppins" w:hAnsi="Poppins" w:cs="Poppins"/>
        <w:sz w:val="18"/>
        <w:szCs w:val="18"/>
      </w:rPr>
      <w:fldChar w:fldCharType="separate"/>
    </w:r>
    <w:r w:rsidR="00F26661">
      <w:rPr>
        <w:rFonts w:ascii="Poppins" w:eastAsia="Poppins" w:hAnsi="Poppins" w:cs="Poppins"/>
        <w:noProof/>
        <w:sz w:val="18"/>
        <w:szCs w:val="18"/>
      </w:rPr>
      <w:t>1</w:t>
    </w:r>
    <w:r>
      <w:rPr>
        <w:rFonts w:ascii="Poppins" w:eastAsia="Poppins" w:hAnsi="Poppins" w:cs="Poppin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B0FB9" w14:textId="77777777" w:rsidR="007611C3" w:rsidRDefault="001F2B8B">
    <w:pPr>
      <w:rPr>
        <w:rFonts w:ascii="Poppins" w:eastAsia="Poppins" w:hAnsi="Poppins" w:cs="Poppins"/>
        <w:sz w:val="20"/>
        <w:szCs w:val="20"/>
      </w:rPr>
    </w:pPr>
    <w:r>
      <w:rPr>
        <w:rFonts w:ascii="Poppins" w:eastAsia="Poppins" w:hAnsi="Poppins" w:cs="Poppins"/>
        <w:color w:val="25282A"/>
        <w:sz w:val="20"/>
        <w:szCs w:val="20"/>
      </w:rPr>
      <w:t>© Leading Educators 2019</w:t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  <w:t xml:space="preserve">            </w:t>
    </w:r>
    <w:r>
      <w:rPr>
        <w:rFonts w:ascii="Poppins" w:eastAsia="Poppins" w:hAnsi="Poppins" w:cs="Poppins"/>
        <w:sz w:val="20"/>
        <w:szCs w:val="20"/>
      </w:rPr>
      <w:fldChar w:fldCharType="begin"/>
    </w:r>
    <w:r>
      <w:rPr>
        <w:rFonts w:ascii="Poppins" w:eastAsia="Poppins" w:hAnsi="Poppins" w:cs="Poppins"/>
        <w:sz w:val="20"/>
        <w:szCs w:val="20"/>
      </w:rPr>
      <w:instrText>PAGE</w:instrText>
    </w:r>
    <w:r>
      <w:rPr>
        <w:rFonts w:ascii="Poppins" w:eastAsia="Poppins" w:hAnsi="Poppins" w:cs="Poppi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0E6F0" w14:textId="77777777" w:rsidR="00515EFB" w:rsidRDefault="001F2B8B">
      <w:r>
        <w:separator/>
      </w:r>
    </w:p>
  </w:footnote>
  <w:footnote w:type="continuationSeparator" w:id="0">
    <w:p w14:paraId="7351C3BA" w14:textId="77777777" w:rsidR="00515EFB" w:rsidRDefault="001F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5569" w14:textId="305E6C2D" w:rsidR="007611C3" w:rsidRDefault="007454A6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0BCB57" wp14:editId="3F7883BF">
          <wp:simplePos x="0" y="0"/>
          <wp:positionH relativeFrom="column">
            <wp:posOffset>932180</wp:posOffset>
          </wp:positionH>
          <wp:positionV relativeFrom="paragraph">
            <wp:posOffset>-83185</wp:posOffset>
          </wp:positionV>
          <wp:extent cx="1319213" cy="571500"/>
          <wp:effectExtent l="0" t="0" r="0" b="0"/>
          <wp:wrapSquare wrapText="bothSides" distT="0" distB="0" distL="114300" distR="114300"/>
          <wp:docPr id="2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F2B8B">
      <w:rPr>
        <w:rFonts w:ascii="Poppins SemiBold" w:eastAsia="Poppins SemiBold" w:hAnsi="Poppins SemiBold" w:cs="Poppins SemiBold"/>
        <w:color w:val="2D68C4"/>
        <w:highlight w:val="white"/>
      </w:rPr>
      <w:t>[All Grades] KDE BCML</w:t>
    </w:r>
    <w:r>
      <w:rPr>
        <w:rFonts w:ascii="Poppins SemiBold" w:eastAsia="Poppins SemiBold" w:hAnsi="Poppins SemiBold" w:cs="Poppins SemiBold"/>
        <w:noProof/>
        <w:color w:val="2D68C4"/>
      </w:rPr>
      <w:drawing>
        <wp:anchor distT="0" distB="0" distL="114300" distR="114300" simplePos="0" relativeHeight="251660288" behindDoc="0" locked="0" layoutInCell="1" allowOverlap="1" wp14:anchorId="12B8D036" wp14:editId="25616375">
          <wp:simplePos x="0" y="0"/>
          <wp:positionH relativeFrom="margin">
            <wp:posOffset>-68580</wp:posOffset>
          </wp:positionH>
          <wp:positionV relativeFrom="margin">
            <wp:posOffset>-847090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A07D59" w14:textId="77777777" w:rsidR="007611C3" w:rsidRDefault="001F2B8B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rFonts w:ascii="Poppins" w:eastAsia="Poppins" w:hAnsi="Poppins" w:cs="Poppins"/>
        <w:b/>
        <w:color w:val="2D68C4"/>
        <w:highlight w:val="white"/>
        <w:u w:val="single"/>
      </w:rPr>
      <w:t>Topic 3</w:t>
    </w:r>
    <w:r>
      <w:rPr>
        <w:rFonts w:ascii="Poppins SemiBold" w:eastAsia="Poppins SemiBold" w:hAnsi="Poppins SemiBold" w:cs="Poppins SemiBold"/>
        <w:color w:val="2D68C4"/>
        <w:highlight w:val="white"/>
      </w:rPr>
      <w:t>: Focusing on SMP 4</w:t>
    </w:r>
    <w:r>
      <w:rPr>
        <w:rFonts w:ascii="Poppins SemiBold" w:eastAsia="Poppins SemiBold" w:hAnsi="Poppins SemiBold" w:cs="Poppins SemiBold"/>
        <w:color w:val="2D68C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1</w:t>
    </w:r>
  </w:p>
  <w:p w14:paraId="10F5C83B" w14:textId="77777777" w:rsidR="007611C3" w:rsidRDefault="007611C3">
    <w:pPr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C0B5A" w14:textId="01A8261A" w:rsidR="007611C3" w:rsidRDefault="001F2B8B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rFonts w:ascii="Poppins SemiBold" w:eastAsia="Poppins SemiBold" w:hAnsi="Poppins SemiBold" w:cs="Poppins SemiBold"/>
        <w:color w:val="2D68C4"/>
        <w:highlight w:val="white"/>
      </w:rPr>
      <w:t xml:space="preserve">KDE BCML: Introduction to the </w:t>
    </w:r>
  </w:p>
  <w:p w14:paraId="3B6C6186" w14:textId="77777777" w:rsidR="007611C3" w:rsidRDefault="001F2B8B">
    <w:pPr>
      <w:ind w:left="2340"/>
      <w:jc w:val="right"/>
      <w:rPr>
        <w:rFonts w:ascii="Times New Roman" w:eastAsia="Times New Roman" w:hAnsi="Times New Roman" w:cs="Times New Roman"/>
      </w:rPr>
    </w:pPr>
    <w:r>
      <w:rPr>
        <w:rFonts w:ascii="Poppins SemiBold" w:eastAsia="Poppins SemiBold" w:hAnsi="Poppins SemiBold" w:cs="Poppins SemiBold"/>
        <w:color w:val="2D68C4"/>
        <w:highlight w:val="white"/>
      </w:rPr>
      <w:t xml:space="preserve">Standards for Mathematical Practice </w:t>
    </w:r>
    <w:r>
      <w:rPr>
        <w:rFonts w:ascii="Poppins SemiBold" w:eastAsia="Poppins SemiBold" w:hAnsi="Poppins SemiBold" w:cs="Poppins SemiBold"/>
        <w:color w:val="2D68C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1</w:t>
    </w:r>
    <w:r>
      <w:rPr>
        <w:rFonts w:ascii="Arial" w:eastAsia="Arial" w:hAnsi="Arial" w:cs="Arial"/>
        <w:sz w:val="22"/>
        <w:szCs w:val="22"/>
      </w:rPr>
      <w:t xml:space="preserve"> </w:t>
    </w:r>
  </w:p>
  <w:p w14:paraId="47E625C0" w14:textId="77777777" w:rsidR="007611C3" w:rsidRDefault="007611C3">
    <w:pPr>
      <w:ind w:left="990" w:hanging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C37"/>
    <w:multiLevelType w:val="multilevel"/>
    <w:tmpl w:val="7ABE4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093051"/>
    <w:multiLevelType w:val="multilevel"/>
    <w:tmpl w:val="81A04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272678"/>
    <w:multiLevelType w:val="multilevel"/>
    <w:tmpl w:val="1FF45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B40BF9"/>
    <w:multiLevelType w:val="multilevel"/>
    <w:tmpl w:val="F43EA312"/>
    <w:lvl w:ilvl="0">
      <w:start w:val="1"/>
      <w:numFmt w:val="bullet"/>
      <w:lvlText w:val="○"/>
      <w:lvlJc w:val="left"/>
      <w:pPr>
        <w:ind w:left="144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480401F0"/>
    <w:multiLevelType w:val="multilevel"/>
    <w:tmpl w:val="18C81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C3"/>
    <w:rsid w:val="001F2B8B"/>
    <w:rsid w:val="00515EFB"/>
    <w:rsid w:val="007454A6"/>
    <w:rsid w:val="007611C3"/>
    <w:rsid w:val="00BE6460"/>
    <w:rsid w:val="00F2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E09DE9"/>
  <w15:docId w15:val="{C3D0D9CC-718F-4713-9918-49DB65F5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5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A6"/>
  </w:style>
  <w:style w:type="paragraph" w:styleId="Footer">
    <w:name w:val="footer"/>
    <w:basedOn w:val="Normal"/>
    <w:link w:val="FooterChar"/>
    <w:uiPriority w:val="99"/>
    <w:unhideWhenUsed/>
    <w:rsid w:val="00745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2020-08-17T04:00:00+00:00</Publication_x0020_Date>
    <Audience1 xmlns="3a62de7d-ba57-4f43-9dae-9623ba637be0"/>
    <_dlc_DocId xmlns="3a62de7d-ba57-4f43-9dae-9623ba637be0">KYED-536-984</_dlc_DocId>
    <_dlc_DocIdUrl xmlns="3a62de7d-ba57-4f43-9dae-9623ba637be0">
      <Url>https://www.education.ky.gov/curriculum/standards/kyacadstand/_layouts/15/DocIdRedir.aspx?ID=KYED-536-984</Url>
      <Description>KYED-536-984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76BE41-4D1F-49E0-B5B9-4359B1D5905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621773ed-55dc-4476-af5e-5bf4e5742684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12423c08-2846-40b6-adb1-6ff477af9c4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507C33-6E06-4699-9209-DBBB9CA74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D8BE3-1F7F-465C-A083-F6419E8EF840}"/>
</file>

<file path=customXml/itemProps4.xml><?xml version="1.0" encoding="utf-8"?>
<ds:datastoreItem xmlns:ds="http://schemas.openxmlformats.org/officeDocument/2006/customXml" ds:itemID="{D9FC345E-D89C-4073-8DEA-C9FE663A7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4</cp:revision>
  <dcterms:created xsi:type="dcterms:W3CDTF">2020-07-20T19:55:00Z</dcterms:created>
  <dcterms:modified xsi:type="dcterms:W3CDTF">2020-07-27T16:26:00Z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b4af37dc-3025-4fb0-997c-18d0f098ef09</vt:lpwstr>
  </property>
</Properties>
</file>