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70AFCE31" w:rsidR="00F45305" w:rsidRDefault="00DD77BE" w:rsidP="00777902">
      <w:pPr>
        <w:pStyle w:val="Heading1"/>
        <w:spacing w:after="0" w:afterAutospacing="0"/>
      </w:pPr>
      <w:r>
        <w:t>Integrating Social, Emotional and Academic Development (</w:t>
      </w:r>
      <w:r w:rsidR="764C054B">
        <w:t>SEAD) within</w:t>
      </w:r>
      <w:r>
        <w:t xml:space="preserve"> the </w:t>
      </w:r>
      <w:r w:rsidRPr="48BBA2EF">
        <w:rPr>
          <w:i/>
          <w:iCs/>
        </w:rPr>
        <w:t>Kentucky Academic Standards (KAS) for Mathematics</w:t>
      </w:r>
      <w:r>
        <w:t> </w:t>
      </w:r>
    </w:p>
    <w:p w14:paraId="543E2290" w14:textId="77777777" w:rsidR="00AA0436" w:rsidRPr="00DD77BE" w:rsidRDefault="00AA0436" w:rsidP="00DD77BE">
      <w:pPr>
        <w:spacing w:after="0" w:line="240" w:lineRule="auto"/>
        <w:rPr>
          <w:rFonts w:ascii="Times New Roman" w:eastAsia="Times New Roman" w:hAnsi="Times New Roman" w:cs="Times New Roman"/>
          <w:sz w:val="24"/>
          <w:szCs w:val="24"/>
        </w:rPr>
      </w:pPr>
    </w:p>
    <w:p w14:paraId="3AE769C6" w14:textId="76C69879" w:rsidR="3CC61194" w:rsidRDefault="3CC61194" w:rsidP="00060EF4">
      <w:pPr>
        <w:spacing w:before="120" w:after="120" w:line="240" w:lineRule="auto"/>
        <w:rPr>
          <w:rFonts w:ascii="Times New Roman" w:eastAsia="Times New Roman" w:hAnsi="Times New Roman" w:cs="Times New Roman"/>
          <w:b/>
          <w:bCs/>
          <w:sz w:val="40"/>
          <w:szCs w:val="40"/>
        </w:rPr>
      </w:pPr>
      <w:r w:rsidRPr="48BBA2EF">
        <w:rPr>
          <w:rFonts w:ascii="Times New Roman" w:eastAsia="Times New Roman" w:hAnsi="Times New Roman" w:cs="Times New Roman"/>
          <w:b/>
          <w:bCs/>
          <w:sz w:val="40"/>
          <w:szCs w:val="40"/>
        </w:rPr>
        <w:t>Grade 5</w:t>
      </w:r>
    </w:p>
    <w:p w14:paraId="4C7F2EE7" w14:textId="6FB4D63C" w:rsidR="48BBA2EF" w:rsidRDefault="48BBA2EF" w:rsidP="48BBA2EF">
      <w:pPr>
        <w:spacing w:after="0" w:line="240" w:lineRule="auto"/>
        <w:rPr>
          <w:rFonts w:ascii="Times New Roman" w:eastAsia="Times New Roman" w:hAnsi="Times New Roman" w:cs="Times New Roman"/>
          <w:sz w:val="40"/>
          <w:szCs w:val="40"/>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060EF4">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060EF4">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060EF4"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060EF4">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060EF4">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w:t>
            </w:r>
            <w:r w:rsidRPr="00344186">
              <w:rPr>
                <w:rFonts w:ascii="Calibri" w:eastAsia="Times New Roman" w:hAnsi="Calibri" w:cs="Calibri"/>
                <w:b/>
                <w:bCs/>
                <w:color w:val="000000"/>
                <w:sz w:val="20"/>
                <w:szCs w:val="20"/>
              </w:rPr>
              <w:t>justify their conclusions, communicate them to others and respond to the arguments of others. They reason inductively about data, making plausible arguments that take into account the context from which the data arose</w:t>
            </w:r>
            <w:r w:rsidRPr="00344186">
              <w:rPr>
                <w:rFonts w:ascii="Calibri" w:eastAsia="Times New Roman" w:hAnsi="Calibri" w:cs="Calibri"/>
                <w:color w:val="000000"/>
                <w:sz w:val="20"/>
                <w:szCs w:val="20"/>
              </w:rPr>
              <w:t xml:space="preserve">. Mathematically proficient students also are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060EF4"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060EF4">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060EF4"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060EF4">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060EF4"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060EF4">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060EF4"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060EF4">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are able to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F76FAF"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F76FAF">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bookmarkStart w:id="8" w:name="_GoBack"/>
            <w:bookmarkEnd w:id="8"/>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740E61E4" w:rsidR="00AE1109" w:rsidRDefault="001D5244" w:rsidP="00AD2A96">
      <w:pPr>
        <w:pStyle w:val="Heading2"/>
        <w:spacing w:before="0" w:after="240"/>
        <w:jc w:val="center"/>
      </w:pPr>
      <w:r w:rsidRPr="48BBA2EF">
        <w:rPr>
          <w:rFonts w:ascii="Calibri" w:hAnsi="Calibri" w:cs="Calibri"/>
          <w:color w:val="000000" w:themeColor="text1"/>
          <w:sz w:val="28"/>
          <w:szCs w:val="28"/>
          <w:u w:val="single"/>
        </w:rPr>
        <w:lastRenderedPageBreak/>
        <w:t xml:space="preserve"> Grade</w:t>
      </w:r>
      <w:r w:rsidR="201E4146" w:rsidRPr="48BBA2EF">
        <w:rPr>
          <w:rFonts w:ascii="Calibri" w:hAnsi="Calibri" w:cs="Calibri"/>
          <w:color w:val="000000" w:themeColor="text1"/>
          <w:sz w:val="28"/>
          <w:szCs w:val="28"/>
          <w:u w:val="single"/>
        </w:rPr>
        <w:t xml:space="preserve"> 5</w:t>
      </w:r>
      <w:r w:rsidR="00AE1109" w:rsidRPr="48BBA2EF">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316DF6">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6AE963BA">
        <w:tc>
          <w:tcPr>
            <w:tcW w:w="14390" w:type="dxa"/>
          </w:tcPr>
          <w:p w14:paraId="497B72F1" w14:textId="77777777" w:rsidR="007F1A8F" w:rsidRDefault="007F1A8F" w:rsidP="007F1A8F">
            <w:pPr>
              <w:pStyle w:val="NormalWeb"/>
              <w:spacing w:before="0" w:beforeAutospacing="0" w:after="0" w:afterAutospacing="0"/>
            </w:pPr>
            <w:r w:rsidRPr="34692F71">
              <w:rPr>
                <w:rFonts w:ascii="Calibri" w:hAnsi="Calibri" w:cs="Calibri"/>
                <w:color w:val="000000" w:themeColor="text1"/>
              </w:rPr>
              <w:t>Considerations when designing mathematics instruction that fosters</w:t>
            </w:r>
            <w:r w:rsidRPr="34692F71">
              <w:rPr>
                <w:rFonts w:ascii="Calibri" w:hAnsi="Calibri" w:cs="Calibri"/>
                <w:b/>
                <w:bCs/>
                <w:color w:val="000000" w:themeColor="text1"/>
              </w:rPr>
              <w:t xml:space="preserve"> self-awareness:</w:t>
            </w:r>
          </w:p>
          <w:p w14:paraId="531356F5" w14:textId="74D83C4B" w:rsidR="34692F71" w:rsidRDefault="34692F71" w:rsidP="34692F71">
            <w:pPr>
              <w:pStyle w:val="NormalWeb"/>
              <w:spacing w:before="0" w:beforeAutospacing="0" w:after="0" w:afterAutospacing="0"/>
              <w:rPr>
                <w:rFonts w:ascii="Calibri" w:hAnsi="Calibri" w:cs="Calibri"/>
                <w:b/>
                <w:bCs/>
                <w:color w:val="000000" w:themeColor="text1"/>
              </w:rPr>
            </w:pPr>
          </w:p>
          <w:p w14:paraId="1FF5631E" w14:textId="112463F4" w:rsidR="007F1A8F" w:rsidRDefault="1368AF84" w:rsidP="37FB76D8">
            <w:pPr>
              <w:pStyle w:val="NormalWeb"/>
              <w:numPr>
                <w:ilvl w:val="0"/>
                <w:numId w:val="32"/>
              </w:numPr>
              <w:spacing w:before="0" w:beforeAutospacing="0" w:after="200" w:afterAutospacing="0"/>
              <w:ind w:right="84"/>
              <w:textAlignment w:val="baseline"/>
              <w:rPr>
                <w:rFonts w:ascii="Calibri" w:hAnsi="Calibri" w:cs="Calibri"/>
                <w:color w:val="000000"/>
              </w:rPr>
            </w:pPr>
            <w:r>
              <w:rPr>
                <w:rFonts w:ascii="Calibri" w:hAnsi="Calibri" w:cs="Calibri"/>
                <w:b/>
                <w:bCs/>
                <w:color w:val="000000"/>
                <w:sz w:val="22"/>
                <w:szCs w:val="22"/>
                <w:shd w:val="clear" w:color="auto" w:fill="FFFFFF"/>
              </w:rPr>
              <w:t xml:space="preserve">Lead class activities that offer students the opportunity to share their perspectives and learn from the perspectives of others. </w:t>
            </w:r>
            <w:r>
              <w:rPr>
                <w:rFonts w:ascii="Calibri" w:hAnsi="Calibri" w:cs="Calibri"/>
                <w:color w:val="000000"/>
                <w:sz w:val="22"/>
                <w:szCs w:val="22"/>
                <w:shd w:val="clear" w:color="auto" w:fill="FFFFFF"/>
              </w:rPr>
              <w:t xml:space="preserve">Attend to the ways in which students position one another as capable or not capable of doing </w:t>
            </w:r>
            <w:r w:rsidR="3B460A98">
              <w:rPr>
                <w:rFonts w:ascii="Calibri" w:hAnsi="Calibri" w:cs="Calibri"/>
                <w:color w:val="000000"/>
                <w:sz w:val="22"/>
                <w:szCs w:val="22"/>
                <w:shd w:val="clear" w:color="auto" w:fill="FFFFFF"/>
              </w:rPr>
              <w:t>mathematics and</w:t>
            </w:r>
            <w:r>
              <w:rPr>
                <w:rFonts w:ascii="Calibri" w:hAnsi="Calibri" w:cs="Calibri"/>
                <w:color w:val="000000"/>
                <w:sz w:val="22"/>
                <w:szCs w:val="22"/>
                <w:shd w:val="clear" w:color="auto" w:fill="FFFFFF"/>
              </w:rPr>
              <w:t xml:space="preserve"> provide opportunities to elevate the voices of marginalized students, such as strategically sharing student work, student thinking and solutions (MP.3). Use collaborative structures to ensure learning engagement and equity of voice. Communicate that students’ thinking is valued to build trust and rapport by asking questions that elicit students’ thinking.  Position students as mathematically competent by encouraging various entry points and elevating </w:t>
            </w:r>
            <w:r w:rsidR="45D006ED">
              <w:rPr>
                <w:rFonts w:ascii="Calibri" w:hAnsi="Calibri" w:cs="Calibri"/>
                <w:color w:val="000000"/>
                <w:sz w:val="22"/>
                <w:szCs w:val="22"/>
                <w:shd w:val="clear" w:color="auto" w:fill="FFFFFF"/>
              </w:rPr>
              <w:t>diverse ways</w:t>
            </w:r>
            <w:r>
              <w:rPr>
                <w:rFonts w:ascii="Calibri" w:hAnsi="Calibri" w:cs="Calibri"/>
                <w:color w:val="000000"/>
                <w:sz w:val="22"/>
                <w:szCs w:val="22"/>
                <w:shd w:val="clear" w:color="auto" w:fill="FFFFFF"/>
              </w:rPr>
              <w:t xml:space="preserve"> students see and use structure in problems. For example, students might see a 3 × 4 × 5 rectangular </w:t>
            </w:r>
            <w:r w:rsidR="00F76FAF">
              <w:rPr>
                <w:rFonts w:ascii="Calibri" w:hAnsi="Calibri" w:cs="Calibri"/>
                <w:color w:val="000000"/>
                <w:sz w:val="22"/>
                <w:szCs w:val="22"/>
                <w:shd w:val="clear" w:color="auto" w:fill="FFFFFF"/>
              </w:rPr>
              <w:t>prisms</w:t>
            </w:r>
            <w:r>
              <w:rPr>
                <w:rFonts w:ascii="Calibri" w:hAnsi="Calibri" w:cs="Calibri"/>
                <w:color w:val="000000"/>
                <w:sz w:val="22"/>
                <w:szCs w:val="22"/>
                <w:shd w:val="clear" w:color="auto" w:fill="FFFFFF"/>
              </w:rPr>
              <w:t xml:space="preserve"> as three layers of a 4 × 5 array of cubes, as four layers of a 3 × 5 array of cubes, or as five layers of a 3 × 4 array of cubes (MP.7).</w:t>
            </w:r>
          </w:p>
          <w:p w14:paraId="23E82807" w14:textId="747967DD" w:rsidR="007F1A8F" w:rsidRDefault="1368AF84" w:rsidP="37FB76D8">
            <w:pPr>
              <w:pStyle w:val="NormalWeb"/>
              <w:numPr>
                <w:ilvl w:val="0"/>
                <w:numId w:val="32"/>
              </w:numPr>
              <w:spacing w:before="0" w:beforeAutospacing="0" w:after="200" w:afterAutospacing="0"/>
              <w:ind w:right="84"/>
              <w:textAlignment w:val="baseline"/>
              <w:rPr>
                <w:rFonts w:ascii="Calibri" w:hAnsi="Calibri" w:cs="Calibri"/>
                <w:color w:val="000000"/>
                <w:sz w:val="22"/>
                <w:szCs w:val="22"/>
              </w:rPr>
            </w:pPr>
            <w:r w:rsidRPr="6AE963BA">
              <w:rPr>
                <w:rFonts w:ascii="Calibri" w:hAnsi="Calibri" w:cs="Calibri"/>
                <w:b/>
                <w:bCs/>
                <w:color w:val="000000" w:themeColor="text1"/>
                <w:sz w:val="22"/>
                <w:szCs w:val="22"/>
              </w:rPr>
              <w:t xml:space="preserve">Provide age-appropriate authentic </w:t>
            </w:r>
            <w:r w:rsidR="714B258C" w:rsidRPr="6AE963BA">
              <w:rPr>
                <w:rFonts w:ascii="Calibri" w:hAnsi="Calibri" w:cs="Calibri"/>
                <w:b/>
                <w:bCs/>
                <w:color w:val="000000" w:themeColor="text1"/>
                <w:sz w:val="22"/>
                <w:szCs w:val="22"/>
              </w:rPr>
              <w:t>feedback and</w:t>
            </w:r>
            <w:r w:rsidRPr="6AE963BA">
              <w:rPr>
                <w:rFonts w:ascii="Calibri" w:hAnsi="Calibri" w:cs="Calibri"/>
                <w:b/>
                <w:bCs/>
                <w:color w:val="000000" w:themeColor="text1"/>
                <w:sz w:val="22"/>
                <w:szCs w:val="22"/>
              </w:rPr>
              <w:t xml:space="preserve"> ask open-ended questions that invite students to engage in deeper reflection about their own strengths. </w:t>
            </w:r>
            <w:r w:rsidRPr="6AE963BA">
              <w:rPr>
                <w:rFonts w:ascii="Calibri" w:hAnsi="Calibri" w:cs="Calibri"/>
                <w:color w:val="000000" w:themeColor="text1"/>
                <w:sz w:val="22"/>
                <w:szCs w:val="22"/>
              </w:rPr>
              <w:t xml:space="preserve">Gather student perspectives through written or verbal reflection (anticipation guides, exit slips, error analysis, interviews, etc.) so that students consider their learning, performance, and growth as learners (MP.3). For </w:t>
            </w:r>
            <w:r w:rsidR="7A71EB92" w:rsidRPr="6AE963BA">
              <w:rPr>
                <w:rFonts w:ascii="Calibri" w:hAnsi="Calibri" w:cs="Calibri"/>
                <w:color w:val="000000" w:themeColor="text1"/>
                <w:sz w:val="22"/>
                <w:szCs w:val="22"/>
              </w:rPr>
              <w:t>example,</w:t>
            </w:r>
            <w:r w:rsidRPr="6AE963BA">
              <w:rPr>
                <w:rFonts w:ascii="Calibri" w:hAnsi="Calibri" w:cs="Calibri"/>
                <w:color w:val="000000" w:themeColor="text1"/>
                <w:sz w:val="22"/>
                <w:szCs w:val="22"/>
              </w:rPr>
              <w:t xml:space="preserve"> in </w:t>
            </w:r>
            <w:hyperlink r:id="rId12" w:anchor="page=105">
              <w:r w:rsidRPr="6AE963BA">
                <w:rPr>
                  <w:rStyle w:val="Hyperlink"/>
                  <w:rFonts w:ascii="Calibri" w:hAnsi="Calibri" w:cs="Calibri"/>
                  <w:sz w:val="22"/>
                  <w:szCs w:val="22"/>
                </w:rPr>
                <w:t>Numbers and Operations with Fractions, Cluster: Use equivalent fractions as a strategy to add and subtract fractions</w:t>
              </w:r>
            </w:hyperlink>
            <w:r w:rsidRPr="6AE963BA">
              <w:rPr>
                <w:rFonts w:ascii="Calibri" w:hAnsi="Calibri" w:cs="Calibri"/>
                <w:color w:val="000000" w:themeColor="text1"/>
                <w:sz w:val="22"/>
                <w:szCs w:val="22"/>
              </w:rPr>
              <w:t>, students think about adding and subtracting fractions, they ask themselves if the fractions in the problem can be solved using a reasoning strategy, or if it is more efficient to find common denominators (MP.2). For example, for the problem 2 3/4 + 3 1/</w:t>
            </w:r>
            <w:r w:rsidR="50C82700" w:rsidRPr="6AE963BA">
              <w:rPr>
                <w:rFonts w:ascii="Calibri" w:hAnsi="Calibri" w:cs="Calibri"/>
                <w:color w:val="000000" w:themeColor="text1"/>
                <w:sz w:val="22"/>
                <w:szCs w:val="22"/>
              </w:rPr>
              <w:t>2,</w:t>
            </w:r>
            <w:r w:rsidRPr="6AE963BA">
              <w:rPr>
                <w:rFonts w:ascii="Calibri" w:hAnsi="Calibri" w:cs="Calibri"/>
                <w:color w:val="000000" w:themeColor="text1"/>
                <w:sz w:val="22"/>
                <w:szCs w:val="22"/>
              </w:rPr>
              <w:t xml:space="preserve"> students may mentally or physically refer to a ruler and use a counting up strategy. </w:t>
            </w:r>
            <w:r w:rsidR="18F14A3A" w:rsidRPr="6AE963BA">
              <w:rPr>
                <w:rFonts w:ascii="Calibri" w:hAnsi="Calibri" w:cs="Calibri"/>
                <w:color w:val="000000" w:themeColor="text1"/>
                <w:sz w:val="22"/>
                <w:szCs w:val="22"/>
              </w:rPr>
              <w:t>Or</w:t>
            </w:r>
            <w:r w:rsidRPr="6AE963BA">
              <w:rPr>
                <w:rFonts w:ascii="Calibri" w:hAnsi="Calibri" w:cs="Calibri"/>
                <w:color w:val="000000" w:themeColor="text1"/>
                <w:sz w:val="22"/>
                <w:szCs w:val="22"/>
              </w:rPr>
              <w:t xml:space="preserve"> students use a break apart strategy noticing 3/4 is 1/2 + 1/4 and therefore, there are 6 wholes and 1/4 more, so 6 1/4 is the sum. Other students rewrite the fractions as 2 3/4 + 3 2/4 and add the whole numbers and fractions separately and then combine them. Students explain their reasoning strategies and students listen to others who solved the problem differently than they solved it and determine if the reasoning makes </w:t>
            </w:r>
            <w:r w:rsidR="295AD1A0" w:rsidRPr="6AE963BA">
              <w:rPr>
                <w:rFonts w:ascii="Calibri" w:hAnsi="Calibri" w:cs="Calibri"/>
                <w:color w:val="000000" w:themeColor="text1"/>
                <w:sz w:val="22"/>
                <w:szCs w:val="22"/>
              </w:rPr>
              <w:t>sense if</w:t>
            </w:r>
            <w:r w:rsidRPr="6AE963BA">
              <w:rPr>
                <w:rFonts w:ascii="Calibri" w:hAnsi="Calibri" w:cs="Calibri"/>
                <w:color w:val="000000" w:themeColor="text1"/>
                <w:sz w:val="22"/>
                <w:szCs w:val="22"/>
              </w:rPr>
              <w:t xml:space="preserve"> it is efficient and if the answer is correct (MP.3).</w:t>
            </w:r>
          </w:p>
          <w:p w14:paraId="7F673AFF" w14:textId="26B3DAA1" w:rsidR="00FD0265" w:rsidRDefault="1368AF84" w:rsidP="37FB76D8">
            <w:pPr>
              <w:pStyle w:val="NormalWeb"/>
              <w:numPr>
                <w:ilvl w:val="0"/>
                <w:numId w:val="32"/>
              </w:numPr>
              <w:spacing w:before="0" w:beforeAutospacing="0" w:after="0" w:afterAutospacing="0"/>
              <w:textAlignment w:val="baseline"/>
            </w:pPr>
            <w:r w:rsidRPr="37FB76D8">
              <w:rPr>
                <w:rFonts w:ascii="Calibri" w:hAnsi="Calibri" w:cs="Calibri"/>
                <w:b/>
                <w:bCs/>
                <w:color w:val="000000" w:themeColor="text1"/>
                <w:sz w:val="22"/>
                <w:szCs w:val="22"/>
              </w:rPr>
              <w:t xml:space="preserve">Promote a </w:t>
            </w:r>
            <w:hyperlink r:id="rId13">
              <w:r w:rsidRPr="37FB76D8">
                <w:rPr>
                  <w:rStyle w:val="Hyperlink"/>
                  <w:rFonts w:ascii="Calibri" w:hAnsi="Calibri" w:cs="Calibri"/>
                  <w:b/>
                  <w:bCs/>
                  <w:color w:val="1155CC"/>
                  <w:sz w:val="22"/>
                  <w:szCs w:val="22"/>
                </w:rPr>
                <w:t>growth mindset</w:t>
              </w:r>
            </w:hyperlink>
            <w:r w:rsidRPr="37FB76D8">
              <w:rPr>
                <w:rFonts w:ascii="Calibri" w:hAnsi="Calibri" w:cs="Calibri"/>
                <w:b/>
                <w:bCs/>
                <w:color w:val="000000" w:themeColor="text1"/>
                <w:sz w:val="22"/>
                <w:szCs w:val="22"/>
              </w:rPr>
              <w:t xml:space="preserve"> by presenting culturally relevant tasks. </w:t>
            </w:r>
            <w:r w:rsidRPr="37FB76D8">
              <w:rPr>
                <w:rFonts w:ascii="Calibri" w:hAnsi="Calibri" w:cs="Calibri"/>
                <w:color w:val="000000" w:themeColor="text1"/>
                <w:sz w:val="22"/>
                <w:szCs w:val="22"/>
              </w:rPr>
              <w:t xml:space="preserve">Bring in students’ existing funds of knowledge (culture, contexts, language and experiences); students are more apt to engage with mathematics when they can make a connection to the </w:t>
            </w:r>
            <w:r w:rsidR="3E6FACF2" w:rsidRPr="37FB76D8">
              <w:rPr>
                <w:rFonts w:ascii="Calibri" w:hAnsi="Calibri" w:cs="Calibri"/>
                <w:color w:val="000000" w:themeColor="text1"/>
                <w:sz w:val="22"/>
                <w:szCs w:val="22"/>
              </w:rPr>
              <w:t>world,</w:t>
            </w:r>
            <w:r w:rsidRPr="37FB76D8">
              <w:rPr>
                <w:rFonts w:ascii="Calibri" w:hAnsi="Calibri" w:cs="Calibri"/>
                <w:color w:val="000000" w:themeColor="text1"/>
                <w:sz w:val="22"/>
                <w:szCs w:val="22"/>
              </w:rPr>
              <w:t xml:space="preserve"> they live in. Consider ways to get to </w:t>
            </w:r>
            <w:r w:rsidRPr="37FB76D8">
              <w:rPr>
                <w:rFonts w:ascii="Calibri" w:hAnsi="Calibri" w:cs="Calibri"/>
                <w:color w:val="000000" w:themeColor="text1"/>
                <w:sz w:val="22"/>
                <w:szCs w:val="22"/>
              </w:rPr>
              <w:lastRenderedPageBreak/>
              <w:t xml:space="preserve">know students, such as asking them to list their favorite musicians, songs, sports, activities, games, food, etc., or by asking deeper questions about their culture, memories and family. Using resources like </w:t>
            </w:r>
            <w:hyperlink r:id="rId14">
              <w:r w:rsidRPr="37FB76D8">
                <w:rPr>
                  <w:rStyle w:val="Hyperlink"/>
                  <w:rFonts w:ascii="Calibri" w:hAnsi="Calibri" w:cs="Calibri"/>
                  <w:color w:val="1155CC"/>
                  <w:sz w:val="22"/>
                  <w:szCs w:val="22"/>
                </w:rPr>
                <w:t>3 Act Tasks</w:t>
              </w:r>
            </w:hyperlink>
            <w:r w:rsidRPr="37FB76D8">
              <w:rPr>
                <w:rFonts w:ascii="Calibri" w:hAnsi="Calibri" w:cs="Calibri"/>
                <w:color w:val="000000" w:themeColor="text1"/>
                <w:sz w:val="22"/>
                <w:szCs w:val="22"/>
              </w:rPr>
              <w:t xml:space="preserve"> provides students the opportunities to reason and take the first initial step to solve the problem in a real-world context.</w:t>
            </w:r>
          </w:p>
        </w:tc>
      </w:tr>
    </w:tbl>
    <w:p w14:paraId="71CF1A6E" w14:textId="137F6B02" w:rsidR="000F2F25" w:rsidRDefault="000F2F25" w:rsidP="00316DF6">
      <w:pPr>
        <w:spacing w:after="0"/>
      </w:pPr>
    </w:p>
    <w:tbl>
      <w:tblPr>
        <w:tblStyle w:val="TableGrid"/>
        <w:tblW w:w="0" w:type="auto"/>
        <w:tblLook w:val="04A0" w:firstRow="1" w:lastRow="0" w:firstColumn="1" w:lastColumn="0" w:noHBand="0" w:noVBand="1"/>
      </w:tblPr>
      <w:tblGrid>
        <w:gridCol w:w="14390"/>
      </w:tblGrid>
      <w:tr w:rsidR="008A573E" w14:paraId="6AE4EDF4" w14:textId="77777777" w:rsidTr="00BA3E29">
        <w:tc>
          <w:tcPr>
            <w:tcW w:w="14390" w:type="dxa"/>
            <w:shd w:val="clear" w:color="auto" w:fill="EDEDED" w:themeFill="accent3" w:themeFillTint="33"/>
          </w:tcPr>
          <w:p w14:paraId="0892AD18" w14:textId="77777777" w:rsidR="008A573E" w:rsidRDefault="008A573E"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p w14:paraId="7E072B1C"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5"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740DD69E"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51EF5891"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6625A58A"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4D4C8A6E" w14:textId="5365797C"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16" w:history="1">
              <w:r>
                <w:rPr>
                  <w:rStyle w:val="Hyperlink"/>
                  <w:rFonts w:ascii="Calibri" w:hAnsi="Calibri" w:cs="Calibri"/>
                  <w:color w:val="1155CC"/>
                  <w:sz w:val="22"/>
                  <w:szCs w:val="22"/>
                </w:rPr>
                <w:t>culturally responsive</w:t>
              </w:r>
              <w:r w:rsidR="009D5B44">
                <w:rPr>
                  <w:rStyle w:val="Hyperlink"/>
                  <w:rFonts w:ascii="Calibri" w:hAnsi="Calibri" w:cs="Calibri"/>
                  <w:color w:val="1155CC"/>
                  <w:sz w:val="22"/>
                  <w:szCs w:val="22"/>
                </w:rPr>
                <w:t xml:space="preserve"> instruction</w:t>
              </w:r>
            </w:hyperlink>
            <w:r>
              <w:rPr>
                <w:rFonts w:ascii="Calibri" w:hAnsi="Calibri" w:cs="Calibri"/>
                <w:color w:val="000000"/>
                <w:sz w:val="22"/>
                <w:szCs w:val="22"/>
              </w:rPr>
              <w:t xml:space="preserve">? What </w:t>
            </w:r>
            <w:hyperlink r:id="rId17" w:history="1">
              <w:r w:rsidRPr="007612DD">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w:t>
            </w:r>
            <w:r w:rsidR="009D5B44">
              <w:rPr>
                <w:rFonts w:ascii="Calibri" w:hAnsi="Calibri" w:cs="Calibri"/>
                <w:color w:val="000000"/>
                <w:sz w:val="22"/>
                <w:szCs w:val="22"/>
              </w:rPr>
              <w:t xml:space="preserve"> instruction </w:t>
            </w:r>
            <w:r>
              <w:rPr>
                <w:rFonts w:ascii="Calibri" w:hAnsi="Calibri" w:cs="Calibri"/>
                <w:color w:val="000000"/>
                <w:sz w:val="22"/>
                <w:szCs w:val="22"/>
              </w:rPr>
              <w:t>deeper into my classroom and instruction? Is there anything I might want to shift about my current approach?</w:t>
            </w:r>
          </w:p>
          <w:p w14:paraId="0C677C00"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790CBDE6"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78DE1FB4" w14:textId="3E0E5E56"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18" w:history="1">
              <w:r w:rsidRPr="009B424E">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7C734608"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6D5294AB" w14:textId="77777777" w:rsidR="008A573E" w:rsidRDefault="008A573E" w:rsidP="008A573E">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19"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141E5664" w14:textId="77777777" w:rsidR="008A573E" w:rsidRDefault="008A573E" w:rsidP="008A573E">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1A38E13A" w14:textId="77777777" w:rsidR="008A573E" w:rsidRDefault="008A573E" w:rsidP="007846F4">
      <w:pPr>
        <w:spacing w:after="0"/>
      </w:pPr>
    </w:p>
    <w:tbl>
      <w:tblPr>
        <w:tblStyle w:val="TableGrid"/>
        <w:tblW w:w="0" w:type="auto"/>
        <w:tblLook w:val="04A0" w:firstRow="1" w:lastRow="0" w:firstColumn="1" w:lastColumn="0" w:noHBand="0" w:noVBand="1"/>
      </w:tblPr>
      <w:tblGrid>
        <w:gridCol w:w="14390"/>
      </w:tblGrid>
      <w:tr w:rsidR="007846F4" w14:paraId="4E9ED2C7" w14:textId="77777777" w:rsidTr="007846F4">
        <w:tc>
          <w:tcPr>
            <w:tcW w:w="14390" w:type="dxa"/>
            <w:shd w:val="clear" w:color="auto" w:fill="D9E2F3" w:themeFill="accent1" w:themeFillTint="33"/>
          </w:tcPr>
          <w:p w14:paraId="66C64B5A" w14:textId="77777777" w:rsidR="007846F4" w:rsidRDefault="007846F4" w:rsidP="007846F4">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6045B407" w14:textId="77777777" w:rsidR="007846F4" w:rsidRDefault="007846F4" w:rsidP="007846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you use what you know to explain why this works? (MP.7)</w:t>
            </w:r>
          </w:p>
          <w:p w14:paraId="6D1865CE" w14:textId="77777777" w:rsidR="007846F4" w:rsidRDefault="007846F4" w:rsidP="007846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Why did you decide to use this method? (MP.2)</w:t>
            </w:r>
          </w:p>
          <w:p w14:paraId="5C0673F0" w14:textId="77777777" w:rsidR="007846F4" w:rsidRDefault="007846F4" w:rsidP="007846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did you test whether your approach worked? (MP.3)</w:t>
            </w:r>
          </w:p>
          <w:p w14:paraId="578CC643" w14:textId="63F79396" w:rsidR="007846F4" w:rsidRPr="007846F4" w:rsidRDefault="007846F4" w:rsidP="007846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notice? What do you wonder?</w:t>
            </w:r>
          </w:p>
        </w:tc>
      </w:tr>
    </w:tbl>
    <w:p w14:paraId="4B2932EE" w14:textId="77777777" w:rsidR="000F2F25" w:rsidRDefault="000F2F25">
      <w:r>
        <w:br w:type="page"/>
      </w:r>
    </w:p>
    <w:p w14:paraId="2BDDF56D" w14:textId="7A699D9E" w:rsidR="001D5244" w:rsidRDefault="001D5244" w:rsidP="001D5244">
      <w:pPr>
        <w:pStyle w:val="Heading2"/>
        <w:spacing w:before="0" w:after="240"/>
        <w:jc w:val="center"/>
      </w:pPr>
      <w:r w:rsidRPr="48BBA2EF">
        <w:rPr>
          <w:rFonts w:ascii="Calibri" w:hAnsi="Calibri" w:cs="Calibri"/>
          <w:color w:val="000000" w:themeColor="text1"/>
          <w:sz w:val="28"/>
          <w:szCs w:val="28"/>
          <w:u w:val="single"/>
        </w:rPr>
        <w:lastRenderedPageBreak/>
        <w:t>Grade</w:t>
      </w:r>
      <w:r w:rsidR="09E26DBD" w:rsidRPr="48BBA2EF">
        <w:rPr>
          <w:rFonts w:ascii="Calibri" w:hAnsi="Calibri" w:cs="Calibri"/>
          <w:color w:val="000000" w:themeColor="text1"/>
          <w:sz w:val="28"/>
          <w:szCs w:val="28"/>
          <w:u w:val="single"/>
        </w:rPr>
        <w:t xml:space="preserve"> 5</w:t>
      </w:r>
      <w:r w:rsidRPr="48BBA2EF">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7846F4">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17E3776D" w14:textId="77777777" w:rsidR="007846F4"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7846F4">
              <w:rPr>
                <w:rFonts w:ascii="Calibri" w:hAnsi="Calibri" w:cs="Calibri"/>
                <w:color w:val="000000"/>
              </w:rPr>
              <w:t>emotions</w:t>
            </w:r>
          </w:p>
          <w:p w14:paraId="7FC1C4E0" w14:textId="6A96CCB5"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33077D51">
        <w:tc>
          <w:tcPr>
            <w:tcW w:w="14390" w:type="dxa"/>
          </w:tcPr>
          <w:p w14:paraId="32218E0C" w14:textId="77777777" w:rsidR="00B41536" w:rsidRDefault="00B41536" w:rsidP="00B41536">
            <w:pPr>
              <w:pStyle w:val="NormalWeb"/>
              <w:spacing w:before="0" w:beforeAutospacing="0" w:after="0" w:afterAutospacing="0"/>
            </w:pPr>
            <w:r w:rsidRPr="37FB76D8">
              <w:rPr>
                <w:rFonts w:ascii="Calibri" w:hAnsi="Calibri" w:cs="Calibri"/>
                <w:color w:val="000000" w:themeColor="text1"/>
              </w:rPr>
              <w:t>Considerations when designing mathematics instruction that fosters</w:t>
            </w:r>
            <w:r w:rsidRPr="37FB76D8">
              <w:rPr>
                <w:rFonts w:ascii="Calibri" w:hAnsi="Calibri" w:cs="Calibri"/>
                <w:b/>
                <w:bCs/>
                <w:color w:val="000000" w:themeColor="text1"/>
              </w:rPr>
              <w:t xml:space="preserve"> self-management:</w:t>
            </w:r>
          </w:p>
          <w:p w14:paraId="1EC68660" w14:textId="53CBCC4C" w:rsidR="37FB76D8" w:rsidRDefault="37FB76D8" w:rsidP="37FB76D8">
            <w:pPr>
              <w:pStyle w:val="NormalWeb"/>
              <w:spacing w:before="0" w:beforeAutospacing="0" w:after="0" w:afterAutospacing="0"/>
              <w:rPr>
                <w:rFonts w:ascii="Calibri" w:hAnsi="Calibri" w:cs="Calibri"/>
                <w:b/>
                <w:bCs/>
                <w:color w:val="000000" w:themeColor="text1"/>
              </w:rPr>
            </w:pPr>
          </w:p>
          <w:p w14:paraId="4C53330F" w14:textId="56B0068E" w:rsidR="00B41536" w:rsidRDefault="00B41536" w:rsidP="37FB76D8">
            <w:pPr>
              <w:pStyle w:val="NormalWeb"/>
              <w:numPr>
                <w:ilvl w:val="0"/>
                <w:numId w:val="34"/>
              </w:numPr>
              <w:spacing w:before="0" w:beforeAutospacing="0" w:after="200" w:afterAutospacing="0"/>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take the initiative for their own learning</w:t>
            </w:r>
            <w:r>
              <w:rPr>
                <w:rFonts w:ascii="Calibri" w:hAnsi="Calibri" w:cs="Calibri"/>
                <w:b/>
                <w:bCs/>
                <w:color w:val="000000"/>
                <w:sz w:val="23"/>
                <w:szCs w:val="23"/>
              </w:rPr>
              <w:t xml:space="preserve">. </w:t>
            </w:r>
            <w:r>
              <w:rPr>
                <w:rFonts w:ascii="Calibri" w:hAnsi="Calibri" w:cs="Calibri"/>
                <w:color w:val="000000"/>
                <w:sz w:val="22"/>
                <w:szCs w:val="22"/>
              </w:rPr>
              <w:t xml:space="preserve">Embedding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 xml:space="preserve">Consider how to support and equip students to take the initiative and move learning forward. </w:t>
            </w:r>
            <w:r>
              <w:rPr>
                <w:rFonts w:ascii="Calibri" w:hAnsi="Calibri" w:cs="Calibri"/>
                <w:color w:val="000000"/>
                <w:sz w:val="22"/>
                <w:szCs w:val="22"/>
              </w:rPr>
              <w:t>For example,</w:t>
            </w:r>
            <w:r>
              <w:rPr>
                <w:rFonts w:ascii="Calibri" w:hAnsi="Calibri" w:cs="Calibri"/>
                <w:b/>
                <w:bCs/>
                <w:color w:val="000000"/>
                <w:sz w:val="22"/>
                <w:szCs w:val="22"/>
              </w:rPr>
              <w:t xml:space="preserve"> </w:t>
            </w:r>
            <w:r>
              <w:rPr>
                <w:rFonts w:ascii="Calibri" w:hAnsi="Calibri" w:cs="Calibri"/>
                <w:color w:val="000000"/>
                <w:sz w:val="22"/>
                <w:szCs w:val="22"/>
              </w:rPr>
              <w:t>what context makes sense when students apply a rule, like add 3 and several patterns emerge. In</w:t>
            </w:r>
            <w:hyperlink r:id="rId20" w:anchor="page=99" w:history="1">
              <w:r>
                <w:rPr>
                  <w:rStyle w:val="Hyperlink"/>
                  <w:rFonts w:ascii="Calibri" w:hAnsi="Calibri" w:cs="Calibri"/>
                  <w:color w:val="1155CC"/>
                  <w:sz w:val="22"/>
                  <w:szCs w:val="22"/>
                </w:rPr>
                <w:t xml:space="preserve"> Operations and Algebraic Thinking, Cluster: Analyze patterns and relationships</w:t>
              </w:r>
            </w:hyperlink>
            <w:r>
              <w:rPr>
                <w:rFonts w:ascii="Calibri" w:hAnsi="Calibri" w:cs="Calibri"/>
                <w:color w:val="000000"/>
                <w:sz w:val="22"/>
                <w:szCs w:val="22"/>
              </w:rPr>
              <w:t xml:space="preserve">, students see the explicit pattern is the new value 3 more than the original value. But, as students </w:t>
            </w:r>
            <w:r w:rsidR="511A99E9">
              <w:rPr>
                <w:rFonts w:ascii="Calibri" w:hAnsi="Calibri" w:cs="Calibri"/>
                <w:color w:val="000000"/>
                <w:sz w:val="22"/>
                <w:szCs w:val="22"/>
              </w:rPr>
              <w:t>explore,</w:t>
            </w:r>
            <w:r>
              <w:rPr>
                <w:rFonts w:ascii="Calibri" w:hAnsi="Calibri" w:cs="Calibri"/>
                <w:color w:val="000000"/>
                <w:sz w:val="22"/>
                <w:szCs w:val="22"/>
              </w:rPr>
              <w:t xml:space="preserve"> they notice if they pick an input that is 5 more than the last input, then the output is also 5 more. The context could be thinking of people's ages in three years. So, if they have a sibling that is 5 years older now, in three years, they will still be 5 years older (MP.2). They represent these patterns on graphs and use the graphs to make sense of the situation (MP.4).</w:t>
            </w:r>
          </w:p>
          <w:p w14:paraId="4B5F71F8" w14:textId="77777777" w:rsidR="00B41536" w:rsidRPr="00B41536" w:rsidRDefault="00B41536" w:rsidP="00B41536">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 xml:space="preserve">Routinely ask questions that encourage students to reflect on barriers they may encounter and help them think about ways they can overcome challenges. </w:t>
            </w:r>
            <w:r>
              <w:rPr>
                <w:rFonts w:ascii="Calibri" w:hAnsi="Calibri" w:cs="Calibri"/>
                <w:color w:val="000000"/>
                <w:sz w:val="22"/>
                <w:szCs w:val="22"/>
              </w:rPr>
              <w:t xml:space="preserve">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1"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While specific routines may vary among educators and even across different class sessions, routines can help foster a sense of predictability and safety for students as they learn mathematics. Consider engaging students in the development of success criteria, empowering them to evaluate where they are on the learning continuum and advocate for support as learning continues (MP.3). </w:t>
            </w:r>
          </w:p>
          <w:p w14:paraId="7C99779B" w14:textId="3F4E00E6" w:rsidR="002C71F0" w:rsidRDefault="284604F4" w:rsidP="33077D51">
            <w:pPr>
              <w:pStyle w:val="NormalWeb"/>
              <w:numPr>
                <w:ilvl w:val="0"/>
                <w:numId w:val="34"/>
              </w:numPr>
              <w:spacing w:before="0" w:beforeAutospacing="0" w:after="200" w:afterAutospacing="0"/>
              <w:textAlignment w:val="baseline"/>
            </w:pPr>
            <w:r w:rsidRPr="33077D51">
              <w:rPr>
                <w:rFonts w:ascii="Calibri" w:hAnsi="Calibri" w:cs="Calibri"/>
                <w:b/>
                <w:bCs/>
                <w:color w:val="000000" w:themeColor="text1"/>
                <w:sz w:val="22"/>
                <w:szCs w:val="22"/>
              </w:rPr>
              <w:t xml:space="preserve">Support students in setting personal and collective goals. </w:t>
            </w:r>
            <w:r w:rsidRPr="33077D51">
              <w:rPr>
                <w:rFonts w:ascii="Calibri" w:hAnsi="Calibri" w:cs="Calibri"/>
                <w:color w:val="000000" w:themeColor="text1"/>
                <w:sz w:val="22"/>
                <w:szCs w:val="22"/>
              </w:rPr>
              <w:t xml:space="preserve">Establish clear learning goals that promote mathematical learning as just, equitable and inclusive. Formative assessment strategies are used to equip and empower students to take ownership of their learning. Consider sharing the questions within </w:t>
            </w:r>
            <w:hyperlink r:id="rId22">
              <w:r w:rsidRPr="33077D51">
                <w:rPr>
                  <w:rStyle w:val="Hyperlink"/>
                  <w:rFonts w:ascii="Calibri" w:hAnsi="Calibri" w:cs="Calibri"/>
                  <w:color w:val="1155CC"/>
                  <w:sz w:val="22"/>
                  <w:szCs w:val="22"/>
                </w:rPr>
                <w:t>A Family Guide to Understanding Assessment</w:t>
              </w:r>
            </w:hyperlink>
            <w:r w:rsidRPr="33077D51">
              <w:rPr>
                <w:rFonts w:ascii="Calibri" w:hAnsi="Calibri" w:cs="Calibri"/>
                <w:color w:val="000000" w:themeColor="text1"/>
                <w:sz w:val="22"/>
                <w:szCs w:val="22"/>
              </w:rPr>
              <w:t xml:space="preserve"> to enable students and families to continue to strengthen student self-</w:t>
            </w:r>
            <w:r w:rsidR="4519CFE4" w:rsidRPr="33077D51">
              <w:rPr>
                <w:rFonts w:ascii="Calibri" w:hAnsi="Calibri" w:cs="Calibri"/>
                <w:color w:val="000000" w:themeColor="text1"/>
                <w:sz w:val="22"/>
                <w:szCs w:val="22"/>
              </w:rPr>
              <w:t>management in</w:t>
            </w:r>
            <w:r w:rsidRPr="33077D51">
              <w:rPr>
                <w:rFonts w:ascii="Calibri" w:hAnsi="Calibri" w:cs="Calibri"/>
                <w:color w:val="000000" w:themeColor="text1"/>
                <w:sz w:val="22"/>
                <w:szCs w:val="22"/>
              </w:rPr>
              <w:t xml:space="preserve"> a variety of </w:t>
            </w:r>
            <w:r w:rsidRPr="33077D51">
              <w:rPr>
                <w:rFonts w:ascii="Calibri" w:hAnsi="Calibri" w:cs="Calibri"/>
                <w:color w:val="000000" w:themeColor="text1"/>
                <w:sz w:val="22"/>
                <w:szCs w:val="22"/>
              </w:rPr>
              <w:lastRenderedPageBreak/>
              <w:t>situations. For example, students set goals based on where they are with the math standards they are learning and consistently check to see where they are and where they are going in their learning.</w:t>
            </w:r>
          </w:p>
        </w:tc>
      </w:tr>
    </w:tbl>
    <w:p w14:paraId="5DFDD609" w14:textId="02AD6BC7" w:rsidR="002C71F0" w:rsidRDefault="002C71F0" w:rsidP="007846F4">
      <w:pPr>
        <w:spacing w:after="0"/>
      </w:pPr>
    </w:p>
    <w:tbl>
      <w:tblPr>
        <w:tblStyle w:val="TableGrid"/>
        <w:tblW w:w="0" w:type="auto"/>
        <w:tblLook w:val="04A0" w:firstRow="1" w:lastRow="0" w:firstColumn="1" w:lastColumn="0" w:noHBand="0" w:noVBand="1"/>
      </w:tblPr>
      <w:tblGrid>
        <w:gridCol w:w="14390"/>
      </w:tblGrid>
      <w:tr w:rsidR="003C4920" w14:paraId="3FD278D8" w14:textId="77777777" w:rsidTr="33077D51">
        <w:tc>
          <w:tcPr>
            <w:tcW w:w="14390" w:type="dxa"/>
            <w:shd w:val="clear" w:color="auto" w:fill="EDEDED" w:themeFill="accent3" w:themeFillTint="33"/>
          </w:tcPr>
          <w:p w14:paraId="202E1F3A" w14:textId="77777777" w:rsidR="003C4920" w:rsidRDefault="003C4920"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self-management:</w:t>
            </w:r>
          </w:p>
          <w:p w14:paraId="2470C91E" w14:textId="77777777" w:rsidR="003C4920" w:rsidRDefault="003C4920" w:rsidP="003C4920">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15E03D99" w14:textId="77777777" w:rsidR="003C4920" w:rsidRDefault="003C4920" w:rsidP="003C4920">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56A7C4D0" w14:textId="77777777" w:rsidR="003C4920" w:rsidRDefault="003C4920" w:rsidP="003C4920">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7D363C2C" w14:textId="77777777" w:rsidR="003C4920" w:rsidRDefault="003C4920" w:rsidP="003C4920">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24AF514F" w14:textId="77777777" w:rsidR="003C4920" w:rsidRDefault="003C4920" w:rsidP="003C4920">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74CEF7C6" w14:textId="77777777" w:rsidR="003C4920" w:rsidRDefault="003C4920" w:rsidP="003C4920">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430449FC" w14:textId="77777777" w:rsidR="003C4920" w:rsidRPr="008952BF" w:rsidRDefault="003C4920" w:rsidP="003C4920">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1697277C" w14:textId="111703C0" w:rsidR="003C4920" w:rsidRDefault="57F9F2FC" w:rsidP="33077D51">
            <w:pPr>
              <w:pStyle w:val="NormalWeb"/>
              <w:numPr>
                <w:ilvl w:val="0"/>
                <w:numId w:val="28"/>
              </w:numPr>
              <w:spacing w:before="0" w:beforeAutospacing="0" w:after="0" w:afterAutospacing="0" w:line="276" w:lineRule="auto"/>
              <w:ind w:left="360" w:right="84"/>
              <w:textAlignment w:val="baseline"/>
            </w:pPr>
            <w:r w:rsidRPr="33077D51">
              <w:rPr>
                <w:rFonts w:ascii="Calibri" w:hAnsi="Calibri" w:cs="Calibri"/>
                <w:color w:val="000000" w:themeColor="text1"/>
                <w:sz w:val="22"/>
                <w:szCs w:val="22"/>
              </w:rPr>
              <w:t xml:space="preserve">What opportunities for student reflection are embedded within my plan for instruction? Are there specific </w:t>
            </w:r>
            <w:hyperlink r:id="rId23">
              <w:r w:rsidRPr="33077D51">
                <w:rPr>
                  <w:rStyle w:val="Hyperlink"/>
                  <w:rFonts w:ascii="Calibri" w:hAnsi="Calibri" w:cs="Calibri"/>
                  <w:color w:val="1155CC"/>
                  <w:sz w:val="22"/>
                  <w:szCs w:val="22"/>
                </w:rPr>
                <w:t>reflection prompts</w:t>
              </w:r>
            </w:hyperlink>
            <w:r w:rsidRPr="33077D51">
              <w:rPr>
                <w:rFonts w:ascii="Calibri" w:hAnsi="Calibri" w:cs="Calibri"/>
                <w:color w:val="000000" w:themeColor="text1"/>
                <w:sz w:val="22"/>
                <w:szCs w:val="22"/>
              </w:rPr>
              <w:t xml:space="preserve"> that lend themselves to this learning experience? Is there a specific </w:t>
            </w:r>
            <w:hyperlink r:id="rId24">
              <w:r w:rsidRPr="33077D51">
                <w:rPr>
                  <w:rStyle w:val="Hyperlink"/>
                  <w:rFonts w:ascii="Calibri" w:hAnsi="Calibri" w:cs="Calibri"/>
                  <w:color w:val="1155CC"/>
                  <w:sz w:val="22"/>
                  <w:szCs w:val="22"/>
                </w:rPr>
                <w:t>writing strategy</w:t>
              </w:r>
            </w:hyperlink>
            <w:r w:rsidR="4046DDC6" w:rsidRPr="33077D51">
              <w:rPr>
                <w:rFonts w:ascii="Calibri" w:hAnsi="Calibri" w:cs="Calibri"/>
                <w:color w:val="000000" w:themeColor="text1"/>
                <w:sz w:val="22"/>
                <w:szCs w:val="22"/>
              </w:rPr>
              <w:t xml:space="preserve">, </w:t>
            </w:r>
            <w:r w:rsidRPr="33077D51">
              <w:rPr>
                <w:rFonts w:ascii="Calibri" w:hAnsi="Calibri" w:cs="Calibri"/>
                <w:color w:val="000000" w:themeColor="text1"/>
                <w:sz w:val="22"/>
                <w:szCs w:val="22"/>
              </w:rPr>
              <w:t>I could utilize with students to reflect on their learning in mathematics?</w:t>
            </w:r>
          </w:p>
        </w:tc>
      </w:tr>
    </w:tbl>
    <w:p w14:paraId="4CFD4ED3" w14:textId="77777777" w:rsidR="00B41536" w:rsidRDefault="00B41536" w:rsidP="00B41536">
      <w:pPr>
        <w:spacing w:after="0"/>
      </w:pPr>
    </w:p>
    <w:tbl>
      <w:tblPr>
        <w:tblStyle w:val="TableGrid"/>
        <w:tblW w:w="0" w:type="auto"/>
        <w:tblLook w:val="04A0" w:firstRow="1" w:lastRow="0" w:firstColumn="1" w:lastColumn="0" w:noHBand="0" w:noVBand="1"/>
      </w:tblPr>
      <w:tblGrid>
        <w:gridCol w:w="14390"/>
      </w:tblGrid>
      <w:tr w:rsidR="00B41536" w14:paraId="55C7E711" w14:textId="77777777" w:rsidTr="00FD5172">
        <w:tc>
          <w:tcPr>
            <w:tcW w:w="14390" w:type="dxa"/>
            <w:shd w:val="clear" w:color="auto" w:fill="D9E2F3" w:themeFill="accent1" w:themeFillTint="33"/>
          </w:tcPr>
          <w:p w14:paraId="6867A1FF" w14:textId="77777777" w:rsidR="00E847D5" w:rsidRPr="00FD5172" w:rsidRDefault="00E847D5" w:rsidP="00FD5172">
            <w:pPr>
              <w:pStyle w:val="NormalWeb"/>
              <w:spacing w:before="0" w:beforeAutospacing="0" w:after="0" w:afterAutospacing="0" w:line="276" w:lineRule="auto"/>
              <w:ind w:right="84"/>
              <w:rPr>
                <w:sz w:val="22"/>
                <w:szCs w:val="22"/>
              </w:rPr>
            </w:pPr>
            <w:r w:rsidRPr="00FD5172">
              <w:rPr>
                <w:rFonts w:ascii="Calibri" w:hAnsi="Calibri" w:cs="Calibri"/>
                <w:color w:val="000000"/>
                <w:sz w:val="22"/>
                <w:szCs w:val="22"/>
              </w:rPr>
              <w:t xml:space="preserve">Questions to foster </w:t>
            </w:r>
            <w:r w:rsidRPr="00FD5172">
              <w:rPr>
                <w:rFonts w:ascii="Calibri" w:hAnsi="Calibri" w:cs="Calibri"/>
                <w:b/>
                <w:bCs/>
                <w:color w:val="000000"/>
                <w:sz w:val="22"/>
                <w:szCs w:val="22"/>
              </w:rPr>
              <w:t xml:space="preserve">self-management </w:t>
            </w:r>
            <w:r w:rsidRPr="00FD5172">
              <w:rPr>
                <w:rFonts w:ascii="Calibri" w:hAnsi="Calibri" w:cs="Calibri"/>
                <w:color w:val="000000"/>
                <w:sz w:val="22"/>
                <w:szCs w:val="22"/>
              </w:rPr>
              <w:t>in students:</w:t>
            </w:r>
          </w:p>
          <w:p w14:paraId="6ABEB137" w14:textId="77777777" w:rsidR="00E847D5" w:rsidRPr="00FD5172" w:rsidRDefault="00E847D5" w:rsidP="00FD5172">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sidRPr="00FD5172">
              <w:rPr>
                <w:rFonts w:ascii="Calibri" w:hAnsi="Calibri" w:cs="Calibri"/>
                <w:color w:val="000000"/>
                <w:sz w:val="22"/>
                <w:szCs w:val="22"/>
              </w:rPr>
              <w:t>What does the number ___ represent in the problem? (MP.2)</w:t>
            </w:r>
          </w:p>
          <w:p w14:paraId="30A1754E" w14:textId="77777777" w:rsidR="00E847D5" w:rsidRPr="00FD5172" w:rsidRDefault="00E847D5" w:rsidP="00FD5172">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sidRPr="00FD5172">
              <w:rPr>
                <w:rFonts w:ascii="Calibri" w:hAnsi="Calibri" w:cs="Calibri"/>
                <w:color w:val="000000"/>
                <w:sz w:val="22"/>
                <w:szCs w:val="22"/>
              </w:rPr>
              <w:t>Would it help to create a diagram? Draw a picture? Make a table? (MP.4)</w:t>
            </w:r>
          </w:p>
          <w:p w14:paraId="1B819899" w14:textId="347961B2" w:rsidR="00B41536" w:rsidRPr="00E847D5" w:rsidRDefault="00E847D5" w:rsidP="00FD5172">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sidRPr="00FD5172">
              <w:rPr>
                <w:rFonts w:ascii="Calibri" w:hAnsi="Calibri" w:cs="Calibri"/>
                <w:color w:val="000000"/>
                <w:sz w:val="22"/>
                <w:szCs w:val="22"/>
              </w:rPr>
              <w:t>What connections do you see? (MP.4)</w:t>
            </w:r>
          </w:p>
        </w:tc>
      </w:tr>
    </w:tbl>
    <w:p w14:paraId="520C5449" w14:textId="63C9BA4F" w:rsidR="002C71F0" w:rsidRDefault="002C71F0" w:rsidP="00B41536">
      <w:pPr>
        <w:spacing w:after="0"/>
      </w:pPr>
      <w:r>
        <w:br w:type="page"/>
      </w:r>
    </w:p>
    <w:p w14:paraId="4E9C7FE8" w14:textId="39871E4D" w:rsidR="001D5244" w:rsidRDefault="001D5244" w:rsidP="001D5244">
      <w:pPr>
        <w:pStyle w:val="Heading2"/>
        <w:spacing w:before="0" w:after="240"/>
        <w:jc w:val="center"/>
      </w:pPr>
      <w:r w:rsidRPr="48BBA2EF">
        <w:rPr>
          <w:rFonts w:ascii="Calibri" w:hAnsi="Calibri" w:cs="Calibri"/>
          <w:color w:val="000000" w:themeColor="text1"/>
          <w:sz w:val="28"/>
          <w:szCs w:val="28"/>
          <w:u w:val="single"/>
        </w:rPr>
        <w:lastRenderedPageBreak/>
        <w:t>Grade</w:t>
      </w:r>
      <w:r w:rsidR="2785EC69" w:rsidRPr="48BBA2EF">
        <w:rPr>
          <w:rFonts w:ascii="Calibri" w:hAnsi="Calibri" w:cs="Calibri"/>
          <w:color w:val="000000" w:themeColor="text1"/>
          <w:sz w:val="28"/>
          <w:szCs w:val="28"/>
          <w:u w:val="single"/>
        </w:rPr>
        <w:t xml:space="preserve"> 5</w:t>
      </w:r>
      <w:r w:rsidRPr="48BBA2EF">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rsidP="00FD5172">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33077D51">
        <w:tc>
          <w:tcPr>
            <w:tcW w:w="14390" w:type="dxa"/>
          </w:tcPr>
          <w:p w14:paraId="180D5FA8" w14:textId="77777777" w:rsidR="00B8358D" w:rsidRDefault="49EC87D7" w:rsidP="00B8358D">
            <w:pPr>
              <w:pStyle w:val="NormalWeb"/>
              <w:spacing w:before="0" w:beforeAutospacing="0" w:after="0" w:afterAutospacing="0"/>
            </w:pPr>
            <w:r w:rsidRPr="37FB76D8">
              <w:rPr>
                <w:rFonts w:ascii="Calibri" w:hAnsi="Calibri" w:cs="Calibri"/>
                <w:color w:val="000000" w:themeColor="text1"/>
              </w:rPr>
              <w:t>Considerations when designing mathematics instruction that fosters</w:t>
            </w:r>
            <w:r w:rsidRPr="37FB76D8">
              <w:rPr>
                <w:rFonts w:ascii="Calibri" w:hAnsi="Calibri" w:cs="Calibri"/>
                <w:b/>
                <w:bCs/>
                <w:color w:val="000000" w:themeColor="text1"/>
              </w:rPr>
              <w:t xml:space="preserve"> social awareness:</w:t>
            </w:r>
          </w:p>
          <w:p w14:paraId="0BC1203B" w14:textId="046F9530" w:rsidR="37FB76D8" w:rsidRDefault="37FB76D8" w:rsidP="37FB76D8">
            <w:pPr>
              <w:pStyle w:val="NormalWeb"/>
              <w:spacing w:before="0" w:beforeAutospacing="0" w:after="0" w:afterAutospacing="0"/>
              <w:rPr>
                <w:rFonts w:ascii="Calibri" w:hAnsi="Calibri" w:cs="Calibri"/>
                <w:b/>
                <w:bCs/>
                <w:color w:val="000000" w:themeColor="text1"/>
              </w:rPr>
            </w:pPr>
          </w:p>
          <w:p w14:paraId="466DDD29" w14:textId="660D647D" w:rsidR="00B8358D" w:rsidRPr="00B8358D" w:rsidRDefault="4C1FC100" w:rsidP="37FB76D8">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 xml:space="preserve">Promote a sense of belonging. </w:t>
            </w:r>
            <w:r>
              <w:rPr>
                <w:rFonts w:ascii="Calibri" w:hAnsi="Calibri" w:cs="Calibri"/>
                <w:color w:val="000000"/>
                <w:sz w:val="22"/>
                <w:szCs w:val="22"/>
                <w:shd w:val="clear" w:color="auto" w:fill="FFFFFF"/>
              </w:rPr>
              <w:t xml:space="preserve">Build a safe community where mathematical discourse supports active listening, promotes diverse perspectives and insights, and allows students to consider others’ reasoning to advance their own mathematical understanding. </w:t>
            </w:r>
            <w:r>
              <w:rPr>
                <w:rFonts w:ascii="Calibri" w:hAnsi="Calibri" w:cs="Calibri"/>
                <w:color w:val="000000"/>
                <w:sz w:val="22"/>
                <w:szCs w:val="22"/>
              </w:rPr>
              <w:t xml:space="preserve">Build community by providing group tasks to develop sense making and problem solving while deepening students’ active engagement (MP.1). 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25"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26"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For </w:t>
            </w:r>
            <w:r w:rsidR="373C2D85">
              <w:rPr>
                <w:rFonts w:ascii="Calibri" w:hAnsi="Calibri" w:cs="Calibri"/>
                <w:color w:val="000000"/>
                <w:sz w:val="22"/>
                <w:szCs w:val="22"/>
              </w:rPr>
              <w:t>example,</w:t>
            </w:r>
            <w:r>
              <w:rPr>
                <w:rFonts w:ascii="Calibri" w:hAnsi="Calibri" w:cs="Calibri"/>
                <w:color w:val="000000"/>
                <w:sz w:val="22"/>
                <w:szCs w:val="22"/>
              </w:rPr>
              <w:t xml:space="preserve"> in</w:t>
            </w:r>
            <w:hyperlink r:id="rId27" w:anchor="page=109" w:history="1">
              <w:r>
                <w:rPr>
                  <w:rStyle w:val="Hyperlink"/>
                  <w:rFonts w:ascii="Calibri" w:hAnsi="Calibri" w:cs="Calibri"/>
                  <w:color w:val="1155CC"/>
                  <w:sz w:val="22"/>
                  <w:szCs w:val="22"/>
                </w:rPr>
                <w:t xml:space="preserve"> Numbers and Operations with Fractions, Cluster: Apply and extend previous understandings of multiplication and division to multiply and divide fractions</w:t>
              </w:r>
            </w:hyperlink>
            <w:r>
              <w:rPr>
                <w:rFonts w:ascii="Calibri" w:hAnsi="Calibri" w:cs="Calibri"/>
                <w:color w:val="000000"/>
                <w:sz w:val="22"/>
                <w:szCs w:val="22"/>
              </w:rPr>
              <w:t>, students solve the classic “brownie sharing” problems, wherein brownies are shared equally with children. In considering how 4 children share 5 brownies. They use drawings of rectangles and partition to show each child will get 1 1/4 brownies. As students continue to explore brownie sharing, they notice patterns. In this case, they see 5 ÷4 means the same as 5/4 (MP.4). Students reason quantitatively as they work on scaling problems in context (MP.2). For example, in 3/4 of 16, students might reason the answer is less than 16. To solve it, they begin by thinking 1/4 of 16 is 4, then think 3 groups of 4 is 12. As students divide a problem such as 4 ÷ 1/</w:t>
            </w:r>
            <w:r w:rsidR="3BE12D25">
              <w:rPr>
                <w:rFonts w:ascii="Calibri" w:hAnsi="Calibri" w:cs="Calibri"/>
                <w:color w:val="000000"/>
                <w:sz w:val="22"/>
                <w:szCs w:val="22"/>
              </w:rPr>
              <w:t>8,</w:t>
            </w:r>
            <w:r>
              <w:rPr>
                <w:rFonts w:ascii="Calibri" w:hAnsi="Calibri" w:cs="Calibri"/>
                <w:color w:val="000000"/>
                <w:sz w:val="22"/>
                <w:szCs w:val="22"/>
              </w:rPr>
              <w:t xml:space="preserve"> 7 ÷ 1/</w:t>
            </w:r>
            <w:r w:rsidR="09FAB27D">
              <w:rPr>
                <w:rFonts w:ascii="Calibri" w:hAnsi="Calibri" w:cs="Calibri"/>
                <w:color w:val="000000"/>
                <w:sz w:val="22"/>
                <w:szCs w:val="22"/>
              </w:rPr>
              <w:t>8,</w:t>
            </w:r>
            <w:r>
              <w:rPr>
                <w:rFonts w:ascii="Calibri" w:hAnsi="Calibri" w:cs="Calibri"/>
                <w:color w:val="000000"/>
                <w:sz w:val="22"/>
                <w:szCs w:val="22"/>
              </w:rPr>
              <w:t xml:space="preserve"> 10 ÷1/</w:t>
            </w:r>
            <w:r w:rsidR="4FE3FC89">
              <w:rPr>
                <w:rFonts w:ascii="Calibri" w:hAnsi="Calibri" w:cs="Calibri"/>
                <w:color w:val="000000"/>
                <w:sz w:val="22"/>
                <w:szCs w:val="22"/>
              </w:rPr>
              <w:t>8,</w:t>
            </w:r>
            <w:r>
              <w:rPr>
                <w:rFonts w:ascii="Calibri" w:hAnsi="Calibri" w:cs="Calibri"/>
                <w:color w:val="000000"/>
                <w:sz w:val="22"/>
                <w:szCs w:val="22"/>
              </w:rPr>
              <w:t xml:space="preserve"> they notice how many eighths in one whole and then multiply by how many wholes they have. This pattern leads to an understanding of why it looks like they are multiplying by the denominator (MP.8).</w:t>
            </w:r>
          </w:p>
          <w:p w14:paraId="05B3947D" w14:textId="2DB4790D" w:rsidR="00A4728D" w:rsidRDefault="4C1FC100" w:rsidP="37FB76D8">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Design structured and unstructured time for students to actively collaborate with their classmates</w:t>
            </w:r>
            <w:r>
              <w:rPr>
                <w:rFonts w:ascii="Calibri" w:hAnsi="Calibri" w:cs="Calibri"/>
                <w:color w:val="000000"/>
                <w:sz w:val="22"/>
                <w:szCs w:val="22"/>
              </w:rPr>
              <w:t xml:space="preserve">. Reflect on student identities and agency to build diverse groups. </w:t>
            </w:r>
            <w:r>
              <w:rPr>
                <w:rFonts w:ascii="Calibri" w:hAnsi="Calibri" w:cs="Calibri"/>
                <w:color w:val="000000"/>
                <w:sz w:val="22"/>
                <w:szCs w:val="22"/>
                <w:shd w:val="clear" w:color="auto" w:fill="FFFFFF"/>
              </w:rPr>
              <w:t xml:space="preserve">Position students as </w:t>
            </w:r>
            <w:r w:rsidR="65A58FD1">
              <w:rPr>
                <w:rFonts w:ascii="Calibri" w:hAnsi="Calibri" w:cs="Calibri"/>
                <w:color w:val="000000"/>
                <w:sz w:val="22"/>
                <w:szCs w:val="22"/>
                <w:shd w:val="clear" w:color="auto" w:fill="FFFFFF"/>
              </w:rPr>
              <w:t>competent and</w:t>
            </w:r>
            <w:r>
              <w:rPr>
                <w:rFonts w:ascii="Calibri" w:hAnsi="Calibri" w:cs="Calibri"/>
                <w:color w:val="000000"/>
                <w:sz w:val="22"/>
                <w:szCs w:val="22"/>
                <w:shd w:val="clear" w:color="auto" w:fill="FFFFFF"/>
              </w:rPr>
              <w:t xml:space="preserve"> elevate the status of students by valuing different contributions students make when they share representations and make connections between these representations. Translating between multiple representations helps students understand each form represents the same relationship and provides </w:t>
            </w:r>
            <w:r w:rsidR="493BAA25">
              <w:rPr>
                <w:rFonts w:ascii="Calibri" w:hAnsi="Calibri" w:cs="Calibri"/>
                <w:color w:val="000000"/>
                <w:sz w:val="22"/>
                <w:szCs w:val="22"/>
                <w:shd w:val="clear" w:color="auto" w:fill="FFFFFF"/>
              </w:rPr>
              <w:t>a unique perspective</w:t>
            </w:r>
            <w:r>
              <w:rPr>
                <w:rFonts w:ascii="Calibri" w:hAnsi="Calibri" w:cs="Calibri"/>
                <w:color w:val="000000"/>
                <w:sz w:val="22"/>
                <w:szCs w:val="22"/>
                <w:shd w:val="clear" w:color="auto" w:fill="FFFFFF"/>
              </w:rPr>
              <w:t xml:space="preserve"> on the relationship (MP.3). Engage students in making connections among mathematical representations to deepen understanding of mathematics concepts and procedures as tools for problem solving (NCTM, 2014). </w:t>
            </w:r>
            <w:r>
              <w:rPr>
                <w:rFonts w:ascii="Calibri" w:hAnsi="Calibri" w:cs="Calibri"/>
                <w:color w:val="000000"/>
                <w:sz w:val="22"/>
                <w:szCs w:val="22"/>
              </w:rPr>
              <w:t xml:space="preserve">For </w:t>
            </w:r>
            <w:r w:rsidR="518ECF1A">
              <w:rPr>
                <w:rFonts w:ascii="Calibri" w:hAnsi="Calibri" w:cs="Calibri"/>
                <w:color w:val="000000"/>
                <w:sz w:val="22"/>
                <w:szCs w:val="22"/>
              </w:rPr>
              <w:lastRenderedPageBreak/>
              <w:t>example,</w:t>
            </w:r>
            <w:r>
              <w:rPr>
                <w:rFonts w:ascii="Calibri" w:hAnsi="Calibri" w:cs="Calibri"/>
                <w:color w:val="000000"/>
                <w:sz w:val="22"/>
                <w:szCs w:val="22"/>
              </w:rPr>
              <w:t xml:space="preserve"> in </w:t>
            </w:r>
            <w:hyperlink r:id="rId28" w:anchor="page=104" w:history="1">
              <w:r>
                <w:rPr>
                  <w:rStyle w:val="Hyperlink"/>
                  <w:rFonts w:ascii="Calibri" w:hAnsi="Calibri" w:cs="Calibri"/>
                  <w:color w:val="1155CC"/>
                  <w:sz w:val="22"/>
                  <w:szCs w:val="22"/>
                </w:rPr>
                <w:t>Numbers and Operations in Base Ten, Cluster: Perform operations with multi digit whole numbers and with decimals to hundredths</w:t>
              </w:r>
            </w:hyperlink>
            <w:r>
              <w:rPr>
                <w:rFonts w:ascii="Calibri" w:hAnsi="Calibri" w:cs="Calibri"/>
                <w:color w:val="000000"/>
                <w:sz w:val="22"/>
                <w:szCs w:val="22"/>
              </w:rPr>
              <w:t>, students understand when given a multiplication problem, they have a choice in how they solve it and select a way that makes sense for the values in the problem. For example, for 1234 x 12, they see the small numbers lend to a break apart strategy and solve the problem this way: 1234 x 10 = 12340 and 1234 x 2 = 2468. They add the partial products to equal 14,808 (MP.7). Other students may stack the two values and use an algorithm. Students recognize a rectangle is an effective model for ensuring all partial products are calculated, for both whole numbers and decimals (MP.4). As students explore problems with decimal values, they reason about the problem, rather than following rules devoid of meaning (count the number of decimal places). For example, when multiplying 4 x 1.5, they use a break apart strategy, as they have for whole numbers, noticing 4 x 1 = 4 and 4 x 0.5 = 2, so therefore, 4 x 1.5 = 6 (MP.2). They explain why this works and when they use this strategy (MP.3).</w:t>
            </w:r>
          </w:p>
        </w:tc>
      </w:tr>
    </w:tbl>
    <w:p w14:paraId="624F38B5" w14:textId="104589B4" w:rsidR="00A4728D" w:rsidRDefault="00A4728D" w:rsidP="00447CEB">
      <w:pPr>
        <w:spacing w:after="0"/>
      </w:pPr>
    </w:p>
    <w:tbl>
      <w:tblPr>
        <w:tblStyle w:val="TableGrid"/>
        <w:tblW w:w="0" w:type="auto"/>
        <w:tblLook w:val="04A0" w:firstRow="1" w:lastRow="0" w:firstColumn="1" w:lastColumn="0" w:noHBand="0" w:noVBand="1"/>
      </w:tblPr>
      <w:tblGrid>
        <w:gridCol w:w="14390"/>
      </w:tblGrid>
      <w:tr w:rsidR="002A4AB2" w14:paraId="449C0921" w14:textId="77777777" w:rsidTr="00BA3E29">
        <w:tc>
          <w:tcPr>
            <w:tcW w:w="14390" w:type="dxa"/>
            <w:shd w:val="clear" w:color="auto" w:fill="EDEDED" w:themeFill="accent3" w:themeFillTint="33"/>
          </w:tcPr>
          <w:p w14:paraId="628F625C" w14:textId="77777777" w:rsidR="002A4AB2" w:rsidRDefault="002A4AB2"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31BD5803" w14:textId="77777777" w:rsidR="002A4AB2" w:rsidRDefault="002A4AB2" w:rsidP="002A4AB2">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47E636D8" w14:textId="77777777" w:rsidR="002A4AB2" w:rsidRDefault="002A4AB2" w:rsidP="002A4AB2">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65D2C872" w14:textId="77777777" w:rsidR="002A4AB2" w:rsidRDefault="002A4AB2" w:rsidP="002A4AB2">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62609E4B" w14:textId="77777777" w:rsidR="002A4AB2" w:rsidRDefault="002A4AB2" w:rsidP="002A4AB2">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2FA59E21" w14:textId="77777777" w:rsidR="002A4AB2" w:rsidRDefault="002A4AB2" w:rsidP="002A4AB2">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7FB02DA1" w14:textId="77777777" w:rsidR="002A4AB2" w:rsidRDefault="002A4AB2" w:rsidP="002A4AB2">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24D36AEF" w14:textId="77777777" w:rsidR="002A4AB2" w:rsidRDefault="002A4AB2" w:rsidP="002A4AB2">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5DBA0699" w14:textId="77777777" w:rsidR="002A4AB2" w:rsidRDefault="002A4AB2" w:rsidP="002A4AB2">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06A54A31" w14:textId="77777777" w:rsidR="00447CEB" w:rsidRDefault="00447CEB" w:rsidP="00447CEB">
      <w:pPr>
        <w:spacing w:after="0"/>
      </w:pPr>
    </w:p>
    <w:tbl>
      <w:tblPr>
        <w:tblStyle w:val="TableGrid"/>
        <w:tblW w:w="0" w:type="auto"/>
        <w:tblLook w:val="04A0" w:firstRow="1" w:lastRow="0" w:firstColumn="1" w:lastColumn="0" w:noHBand="0" w:noVBand="1"/>
      </w:tblPr>
      <w:tblGrid>
        <w:gridCol w:w="14390"/>
      </w:tblGrid>
      <w:tr w:rsidR="00447CEB" w14:paraId="751DB14E" w14:textId="77777777" w:rsidTr="00D16DBA">
        <w:tc>
          <w:tcPr>
            <w:tcW w:w="14390" w:type="dxa"/>
            <w:shd w:val="clear" w:color="auto" w:fill="D9E2F3" w:themeFill="accent1" w:themeFillTint="33"/>
          </w:tcPr>
          <w:p w14:paraId="39FB06B1" w14:textId="77777777" w:rsidR="00D16DBA" w:rsidRDefault="00D16DBA" w:rsidP="00D16DBA">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social awareness </w:t>
            </w:r>
            <w:r>
              <w:rPr>
                <w:rFonts w:ascii="Calibri" w:hAnsi="Calibri" w:cs="Calibri"/>
                <w:color w:val="000000"/>
              </w:rPr>
              <w:t>in students:</w:t>
            </w:r>
          </w:p>
          <w:p w14:paraId="6E3C8B4A" w14:textId="77777777" w:rsidR="00D16DBA" w:rsidRDefault="00D16DBA" w:rsidP="00D16DBA">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think of another method that might have worked? (MP.2)</w:t>
            </w:r>
          </w:p>
          <w:p w14:paraId="23B891AB" w14:textId="77777777" w:rsidR="00D16DBA" w:rsidRDefault="00D16DBA" w:rsidP="00D16DBA">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___’s way of solving the problem like/different from yours? (MP.1)</w:t>
            </w:r>
          </w:p>
          <w:p w14:paraId="46ACFAC8" w14:textId="54500DAD" w:rsidR="00447CEB" w:rsidRPr="00D16DBA" w:rsidRDefault="00D16DBA" w:rsidP="00D16DBA">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there a mathematical rule for ___? (MP.8)</w:t>
            </w:r>
          </w:p>
        </w:tc>
      </w:tr>
    </w:tbl>
    <w:p w14:paraId="56C084BF" w14:textId="50E1EF47" w:rsidR="00A4728D" w:rsidRDefault="00A4728D" w:rsidP="00447CEB">
      <w:pPr>
        <w:spacing w:after="0"/>
      </w:pPr>
      <w:r>
        <w:br w:type="page"/>
      </w:r>
    </w:p>
    <w:p w14:paraId="778F38EC" w14:textId="718EFA99" w:rsidR="001D5244" w:rsidRDefault="001D5244" w:rsidP="001D5244">
      <w:pPr>
        <w:pStyle w:val="Heading2"/>
        <w:spacing w:before="0" w:after="240"/>
        <w:jc w:val="center"/>
      </w:pPr>
      <w:r w:rsidRPr="48BBA2EF">
        <w:rPr>
          <w:rFonts w:ascii="Calibri" w:hAnsi="Calibri" w:cs="Calibri"/>
          <w:color w:val="000000" w:themeColor="text1"/>
          <w:sz w:val="28"/>
          <w:szCs w:val="28"/>
          <w:u w:val="single"/>
        </w:rPr>
        <w:lastRenderedPageBreak/>
        <w:t>Grade</w:t>
      </w:r>
      <w:r w:rsidR="585C9013" w:rsidRPr="48BBA2EF">
        <w:rPr>
          <w:rFonts w:ascii="Calibri" w:hAnsi="Calibri" w:cs="Calibri"/>
          <w:color w:val="000000" w:themeColor="text1"/>
          <w:sz w:val="28"/>
          <w:szCs w:val="28"/>
          <w:u w:val="single"/>
        </w:rPr>
        <w:t xml:space="preserve"> 5</w:t>
      </w:r>
      <w:r w:rsidRPr="48BBA2EF">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rsidP="00D16DBA">
            <w:pPr>
              <w:pStyle w:val="Heading3"/>
              <w:spacing w:before="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33077D51">
        <w:tc>
          <w:tcPr>
            <w:tcW w:w="14390" w:type="dxa"/>
          </w:tcPr>
          <w:p w14:paraId="2D69BCF7" w14:textId="77777777" w:rsidR="00287E22" w:rsidRDefault="70D01B00" w:rsidP="00287E22">
            <w:pPr>
              <w:pStyle w:val="NormalWeb"/>
              <w:spacing w:before="0" w:beforeAutospacing="0" w:after="0" w:afterAutospacing="0"/>
            </w:pPr>
            <w:r w:rsidRPr="37FB76D8">
              <w:rPr>
                <w:rFonts w:ascii="Calibri" w:hAnsi="Calibri" w:cs="Calibri"/>
                <w:color w:val="000000" w:themeColor="text1"/>
              </w:rPr>
              <w:t>Considerations when designing mathematics instruction that fosters</w:t>
            </w:r>
            <w:r w:rsidRPr="37FB76D8">
              <w:rPr>
                <w:rFonts w:ascii="Calibri" w:hAnsi="Calibri" w:cs="Calibri"/>
                <w:b/>
                <w:bCs/>
                <w:color w:val="000000" w:themeColor="text1"/>
              </w:rPr>
              <w:t xml:space="preserve"> relationship skills</w:t>
            </w:r>
            <w:r w:rsidRPr="37FB76D8">
              <w:rPr>
                <w:rFonts w:ascii="Calibri" w:hAnsi="Calibri" w:cs="Calibri"/>
                <w:color w:val="000000" w:themeColor="text1"/>
              </w:rPr>
              <w:t>:</w:t>
            </w:r>
          </w:p>
          <w:p w14:paraId="18043AE9" w14:textId="53D210E7" w:rsidR="37FB76D8" w:rsidRDefault="37FB76D8" w:rsidP="37FB76D8">
            <w:pPr>
              <w:pStyle w:val="NormalWeb"/>
              <w:spacing w:before="0" w:beforeAutospacing="0" w:after="0" w:afterAutospacing="0"/>
              <w:rPr>
                <w:rFonts w:ascii="Calibri" w:hAnsi="Calibri" w:cs="Calibri"/>
                <w:color w:val="000000" w:themeColor="text1"/>
              </w:rPr>
            </w:pPr>
          </w:p>
          <w:p w14:paraId="5C8255AD" w14:textId="741C03C5" w:rsidR="00287E22" w:rsidRPr="00287E22" w:rsidRDefault="4EE4EE6A" w:rsidP="37FB76D8">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Promote skills in cooperation and communication. </w:t>
            </w:r>
            <w:r>
              <w:rPr>
                <w:rFonts w:ascii="Calibri" w:hAnsi="Calibri" w:cs="Calibri"/>
                <w:color w:val="000000"/>
                <w:sz w:val="22"/>
                <w:szCs w:val="22"/>
              </w:rPr>
              <w:t xml:space="preserve">Enhance students’ mathematical agency by including regular collaborative opportunities for students to work together with others as a team on </w:t>
            </w:r>
            <w:hyperlink r:id="rId29"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w:t>
            </w:r>
            <w:r>
              <w:rPr>
                <w:rFonts w:ascii="Calibri" w:hAnsi="Calibri" w:cs="Calibri"/>
                <w:color w:val="000000"/>
                <w:sz w:val="22"/>
                <w:szCs w:val="22"/>
                <w:shd w:val="clear" w:color="auto" w:fill="FFFFFF"/>
              </w:rPr>
              <w:t xml:space="preserve">Collaborative learning experiences also can serve to reinforce </w:t>
            </w:r>
            <w:r w:rsidR="62A66698">
              <w:rPr>
                <w:rFonts w:ascii="Calibri" w:hAnsi="Calibri" w:cs="Calibri"/>
                <w:color w:val="000000"/>
                <w:sz w:val="22"/>
                <w:szCs w:val="22"/>
                <w:shd w:val="clear" w:color="auto" w:fill="FFFFFF"/>
              </w:rPr>
              <w:t>self-management</w:t>
            </w:r>
            <w:r>
              <w:rPr>
                <w:rFonts w:ascii="Calibri" w:hAnsi="Calibri" w:cs="Calibri"/>
                <w:color w:val="000000"/>
                <w:sz w:val="22"/>
                <w:szCs w:val="22"/>
                <w:shd w:val="clear" w:color="auto" w:fill="FFFFFF"/>
              </w:rPr>
              <w:t xml:space="preserve"> skills. One way to do this might be to urge students to continually evaluate and talk to their peers about the reasonableness of their results. </w:t>
            </w:r>
            <w:r>
              <w:rPr>
                <w:rFonts w:ascii="Calibri" w:hAnsi="Calibri" w:cs="Calibri"/>
                <w:color w:val="000000"/>
                <w:sz w:val="22"/>
                <w:szCs w:val="22"/>
              </w:rPr>
              <w:t xml:space="preserve">For </w:t>
            </w:r>
            <w:r w:rsidR="108BC7A7">
              <w:rPr>
                <w:rFonts w:ascii="Calibri" w:hAnsi="Calibri" w:cs="Calibri"/>
                <w:color w:val="000000"/>
                <w:sz w:val="22"/>
                <w:szCs w:val="22"/>
              </w:rPr>
              <w:t>example,</w:t>
            </w:r>
            <w:r>
              <w:rPr>
                <w:rFonts w:ascii="Calibri" w:hAnsi="Calibri" w:cs="Calibri"/>
                <w:color w:val="000000"/>
                <w:sz w:val="22"/>
                <w:szCs w:val="22"/>
              </w:rPr>
              <w:t xml:space="preserve"> in </w:t>
            </w:r>
            <w:hyperlink r:id="rId30" w:anchor="page=101" w:history="1">
              <w:r>
                <w:rPr>
                  <w:rStyle w:val="Hyperlink"/>
                  <w:rFonts w:ascii="Calibri" w:hAnsi="Calibri" w:cs="Calibri"/>
                  <w:color w:val="1155CC"/>
                  <w:sz w:val="22"/>
                  <w:szCs w:val="22"/>
                </w:rPr>
                <w:t>Numbers and Operations in Base Ten, Cluster: Understand the place value system</w:t>
              </w:r>
            </w:hyperlink>
            <w:r>
              <w:rPr>
                <w:rFonts w:ascii="Calibri" w:hAnsi="Calibri" w:cs="Calibri"/>
                <w:color w:val="000000"/>
                <w:sz w:val="22"/>
                <w:szCs w:val="22"/>
              </w:rPr>
              <w:t xml:space="preserve">, students look across series of problems to notice a pattern when multiplying by 10, 100 or 1000 (MP.8) and justify why patterns exist (why 36 x 100 = 3600), rather than superficially noting ‘you add zeros,’ they explain or show there are </w:t>
            </w:r>
            <w:r w:rsidR="7512239F">
              <w:rPr>
                <w:rFonts w:ascii="Calibri" w:hAnsi="Calibri" w:cs="Calibri"/>
                <w:color w:val="000000"/>
                <w:sz w:val="22"/>
                <w:szCs w:val="22"/>
              </w:rPr>
              <w:t>36</w:t>
            </w:r>
            <w:r>
              <w:rPr>
                <w:rFonts w:ascii="Calibri" w:hAnsi="Calibri" w:cs="Calibri"/>
                <w:color w:val="000000"/>
                <w:sz w:val="22"/>
                <w:szCs w:val="22"/>
              </w:rPr>
              <w:t xml:space="preserve"> </w:t>
            </w:r>
            <w:r w:rsidR="717D5E8A">
              <w:rPr>
                <w:rFonts w:ascii="Calibri" w:hAnsi="Calibri" w:cs="Calibri"/>
                <w:color w:val="000000"/>
                <w:sz w:val="22"/>
                <w:szCs w:val="22"/>
              </w:rPr>
              <w:t>hundred</w:t>
            </w:r>
            <w:r>
              <w:rPr>
                <w:rFonts w:ascii="Calibri" w:hAnsi="Calibri" w:cs="Calibri"/>
                <w:color w:val="000000"/>
                <w:sz w:val="22"/>
                <w:szCs w:val="22"/>
              </w:rPr>
              <w:t xml:space="preserve">, so 3600 (MP.3). Students use similar reasoning to compare decimal values, explaining tenths are larger than hundredths and therefore, they look to first see which values have more tenths before looking at how many hundredths it has (MP.2, MP.7). Students use tools such as number lines and base 10 blocks to see place value relationships with decimals </w:t>
            </w:r>
            <w:r w:rsidR="275A3A86">
              <w:rPr>
                <w:rFonts w:ascii="Calibri" w:hAnsi="Calibri" w:cs="Calibri"/>
                <w:color w:val="000000"/>
                <w:sz w:val="22"/>
                <w:szCs w:val="22"/>
              </w:rPr>
              <w:t>to</w:t>
            </w:r>
            <w:r>
              <w:rPr>
                <w:rFonts w:ascii="Calibri" w:hAnsi="Calibri" w:cs="Calibri"/>
                <w:color w:val="000000"/>
                <w:sz w:val="22"/>
                <w:szCs w:val="22"/>
              </w:rPr>
              <w:t xml:space="preserve"> compare and to round (MP.5).</w:t>
            </w:r>
          </w:p>
          <w:p w14:paraId="34D3E2E3" w14:textId="57CC1B01" w:rsidR="00841A5D" w:rsidRDefault="6A52A12D" w:rsidP="33077D51">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Empower </w:t>
            </w:r>
            <w:r>
              <w:rPr>
                <w:rFonts w:ascii="Calibri" w:hAnsi="Calibri" w:cs="Calibri"/>
                <w:b/>
                <w:bCs/>
                <w:color w:val="000000"/>
                <w:sz w:val="22"/>
                <w:szCs w:val="22"/>
                <w:shd w:val="clear" w:color="auto" w:fill="FFFFFF"/>
              </w:rPr>
              <w:t xml:space="preserve">students to give and receive constructive feedback. </w:t>
            </w:r>
            <w:r>
              <w:rPr>
                <w:rFonts w:ascii="Calibri" w:hAnsi="Calibri" w:cs="Calibri"/>
                <w:color w:val="000000"/>
                <w:sz w:val="22"/>
                <w:szCs w:val="22"/>
                <w:shd w:val="clear" w:color="auto" w:fill="FFFFFF"/>
              </w:rPr>
              <w:t>Intentionally use collaborative work groups to reinforce the importance of working together to solve problems and achieve goals</w:t>
            </w:r>
            <w:r>
              <w:rPr>
                <w:rFonts w:ascii="Arial" w:hAnsi="Arial" w:cs="Arial"/>
                <w:b/>
                <w:bCs/>
                <w:color w:val="000000"/>
                <w:sz w:val="20"/>
                <w:szCs w:val="20"/>
                <w:shd w:val="clear" w:color="auto" w:fill="FFFFFF"/>
              </w:rPr>
              <w:t xml:space="preserve">. </w:t>
            </w:r>
            <w:r>
              <w:rPr>
                <w:rFonts w:ascii="Calibri" w:hAnsi="Calibri" w:cs="Calibri"/>
                <w:color w:val="000000"/>
                <w:sz w:val="22"/>
                <w:szCs w:val="22"/>
                <w:shd w:val="clear" w:color="auto" w:fill="FFFFFF"/>
              </w:rPr>
              <w:t>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w:t>
            </w:r>
            <w:r>
              <w:rPr>
                <w:rFonts w:ascii="Calibri" w:hAnsi="Calibri" w:cs="Calibri"/>
                <w:color w:val="000000"/>
                <w:sz w:val="22"/>
                <w:szCs w:val="22"/>
              </w:rPr>
              <w:t xml:space="preserve"> For </w:t>
            </w:r>
            <w:r w:rsidR="126C6C1A">
              <w:rPr>
                <w:rFonts w:ascii="Calibri" w:hAnsi="Calibri" w:cs="Calibri"/>
                <w:color w:val="000000"/>
                <w:sz w:val="22"/>
                <w:szCs w:val="22"/>
              </w:rPr>
              <w:t>example,</w:t>
            </w:r>
            <w:r>
              <w:rPr>
                <w:rFonts w:ascii="Calibri" w:hAnsi="Calibri" w:cs="Calibri"/>
                <w:color w:val="000000"/>
                <w:sz w:val="22"/>
                <w:szCs w:val="22"/>
              </w:rPr>
              <w:t xml:space="preserve"> in </w:t>
            </w:r>
            <w:hyperlink r:id="rId31" w:anchor="page=115" w:history="1">
              <w:r>
                <w:rPr>
                  <w:rStyle w:val="Hyperlink"/>
                  <w:rFonts w:ascii="Calibri" w:hAnsi="Calibri" w:cs="Calibri"/>
                  <w:color w:val="1155CC"/>
                  <w:sz w:val="22"/>
                  <w:szCs w:val="22"/>
                </w:rPr>
                <w:t>Geometry, Cluster: Classify two-dimensional figures into categories based on their properties</w:t>
              </w:r>
            </w:hyperlink>
            <w:r>
              <w:rPr>
                <w:rFonts w:ascii="Calibri" w:hAnsi="Calibri" w:cs="Calibri"/>
                <w:color w:val="000000"/>
                <w:sz w:val="22"/>
                <w:szCs w:val="22"/>
              </w:rPr>
              <w:t xml:space="preserve">, students describe attributes they notice for a particular type of quadrilateral, focusing on side lengths and angles (MP.6). They compare the lists of defining attributes across shapes to notice what they have in common and what is different (MP.7). They explain some types of quadrilaterals (parallelograms) are also rectangles because all the attributes of a parallelogram are also attributes of a rectangle (MP.3). They use this analysis to build an understanding of a rectangle as a special case of a parallelogram (a parallelogram with </w:t>
            </w:r>
            <w:r w:rsidR="19A6C09A">
              <w:rPr>
                <w:rFonts w:ascii="Calibri" w:hAnsi="Calibri" w:cs="Calibri"/>
                <w:color w:val="000000"/>
                <w:sz w:val="22"/>
                <w:szCs w:val="22"/>
              </w:rPr>
              <w:t>90-degree</w:t>
            </w:r>
            <w:r>
              <w:rPr>
                <w:rFonts w:ascii="Calibri" w:hAnsi="Calibri" w:cs="Calibri"/>
                <w:color w:val="000000"/>
                <w:sz w:val="22"/>
                <w:szCs w:val="22"/>
              </w:rPr>
              <w:t xml:space="preserve"> angles) and use these understandings to create a hierarchy of quadrilaterals (MP.1). Use </w:t>
            </w:r>
            <w:hyperlink r:id="rId32"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w:t>
            </w:r>
            <w:r>
              <w:rPr>
                <w:rFonts w:ascii="Calibri" w:hAnsi="Calibri" w:cs="Calibri"/>
                <w:color w:val="000000"/>
                <w:sz w:val="22"/>
                <w:szCs w:val="22"/>
              </w:rPr>
              <w:lastRenderedPageBreak/>
              <w:t xml:space="preserve">making about important mathematical ideas and relationships (NCTM, 2014). By thinking about when misconceptions are likely to arise in the lesson, teachers can plan to use strategies, such as </w:t>
            </w:r>
            <w:hyperlink r:id="rId33"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14826A66" w14:textId="79B73F78" w:rsidR="00841A5D" w:rsidRDefault="00841A5D" w:rsidP="00287E22">
      <w:pPr>
        <w:spacing w:after="0"/>
      </w:pPr>
    </w:p>
    <w:tbl>
      <w:tblPr>
        <w:tblStyle w:val="TableGrid"/>
        <w:tblW w:w="0" w:type="auto"/>
        <w:tblLook w:val="04A0" w:firstRow="1" w:lastRow="0" w:firstColumn="1" w:lastColumn="0" w:noHBand="0" w:noVBand="1"/>
      </w:tblPr>
      <w:tblGrid>
        <w:gridCol w:w="14390"/>
      </w:tblGrid>
      <w:tr w:rsidR="005F3622" w14:paraId="47DAA251" w14:textId="77777777" w:rsidTr="37FB76D8">
        <w:tc>
          <w:tcPr>
            <w:tcW w:w="14390" w:type="dxa"/>
            <w:shd w:val="clear" w:color="auto" w:fill="EDEDED" w:themeFill="accent3" w:themeFillTint="33"/>
          </w:tcPr>
          <w:p w14:paraId="489788F7" w14:textId="77777777" w:rsidR="005F3622" w:rsidRDefault="005F3622"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786E5646" w14:textId="19B24C8D" w:rsidR="005F3622" w:rsidRDefault="773BC2E8" w:rsidP="37FB76D8">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sidRPr="37FB76D8">
              <w:rPr>
                <w:rFonts w:ascii="Calibri" w:hAnsi="Calibri" w:cs="Calibri"/>
                <w:color w:val="000000" w:themeColor="text1"/>
                <w:sz w:val="22"/>
                <w:szCs w:val="22"/>
              </w:rPr>
              <w:t>How was I taught math when growing up? Was my experience a balance of conceptual understanding, procedural skills/</w:t>
            </w:r>
            <w:r w:rsidR="246CD185" w:rsidRPr="37FB76D8">
              <w:rPr>
                <w:rFonts w:ascii="Calibri" w:hAnsi="Calibri" w:cs="Calibri"/>
                <w:color w:val="000000" w:themeColor="text1"/>
                <w:sz w:val="22"/>
                <w:szCs w:val="22"/>
              </w:rPr>
              <w:t>fluency,</w:t>
            </w:r>
            <w:r w:rsidRPr="37FB76D8">
              <w:rPr>
                <w:rFonts w:ascii="Calibri" w:hAnsi="Calibri" w:cs="Calibri"/>
                <w:color w:val="000000" w:themeColor="text1"/>
                <w:sz w:val="22"/>
                <w:szCs w:val="22"/>
              </w:rPr>
              <w:t xml:space="preserve"> application, or did it lean more heavily in one area? How do I typically teach mathematics? Is my instruction a balance of conceptual understanding, procedural skills/fluency or application, or does it lean more heavily in one area?</w:t>
            </w:r>
          </w:p>
          <w:p w14:paraId="3BF0C6DF" w14:textId="7ED9BB7C" w:rsidR="005F3622" w:rsidRDefault="005F3622" w:rsidP="005F362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34"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F76FAF">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1F0A3434" w14:textId="77777777" w:rsidR="005F3622" w:rsidRDefault="005F3622" w:rsidP="005F362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35"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6581648A" w14:textId="77777777" w:rsidR="005F3622" w:rsidRDefault="005F3622" w:rsidP="005F362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2FFADE12" w14:textId="77777777" w:rsidR="005F3622" w:rsidRDefault="005F3622" w:rsidP="005F362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46262D82" w14:textId="77777777" w:rsidR="005F3622" w:rsidRDefault="005F3622" w:rsidP="005F362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41ACAD51" w14:textId="77777777" w:rsidR="005F3622" w:rsidRDefault="005F3622" w:rsidP="005F362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36"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1881D525" w14:textId="77777777" w:rsidR="005F3622" w:rsidRPr="00F223BB" w:rsidRDefault="005F3622" w:rsidP="005F362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48C73251" w14:textId="77777777" w:rsidR="00EA1E11" w:rsidRDefault="00EA1E11" w:rsidP="00287E22">
      <w:pPr>
        <w:spacing w:after="0"/>
      </w:pPr>
    </w:p>
    <w:tbl>
      <w:tblPr>
        <w:tblStyle w:val="TableGrid"/>
        <w:tblW w:w="0" w:type="auto"/>
        <w:tblLook w:val="04A0" w:firstRow="1" w:lastRow="0" w:firstColumn="1" w:lastColumn="0" w:noHBand="0" w:noVBand="1"/>
      </w:tblPr>
      <w:tblGrid>
        <w:gridCol w:w="14390"/>
      </w:tblGrid>
      <w:tr w:rsidR="00EA1E11" w14:paraId="677E9138" w14:textId="77777777" w:rsidTr="00346196">
        <w:tc>
          <w:tcPr>
            <w:tcW w:w="14390" w:type="dxa"/>
            <w:shd w:val="clear" w:color="auto" w:fill="D9E2F3" w:themeFill="accent1" w:themeFillTint="33"/>
          </w:tcPr>
          <w:p w14:paraId="7C93F768" w14:textId="77777777" w:rsidR="00346196" w:rsidRDefault="00346196" w:rsidP="00346196">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53875C39" w14:textId="77777777" w:rsidR="00346196" w:rsidRDefault="00346196" w:rsidP="00346196">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Why was it helpful to use ____? (MP.5)</w:t>
            </w:r>
          </w:p>
          <w:p w14:paraId="0AE9D1E6" w14:textId="77777777" w:rsidR="00346196" w:rsidRDefault="00346196" w:rsidP="00346196">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Why is this important to the problem? (MP.7)</w:t>
            </w:r>
          </w:p>
          <w:p w14:paraId="7306D0A0" w14:textId="6694A997" w:rsidR="00EA1E11" w:rsidRPr="00346196" w:rsidRDefault="00346196" w:rsidP="00346196">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you know? (MP.3)</w:t>
            </w:r>
          </w:p>
        </w:tc>
      </w:tr>
    </w:tbl>
    <w:p w14:paraId="060ADF66" w14:textId="285E67F7" w:rsidR="00CB214C" w:rsidRDefault="00CB214C" w:rsidP="00287E22">
      <w:pPr>
        <w:spacing w:after="0"/>
      </w:pPr>
      <w:r>
        <w:br w:type="page"/>
      </w:r>
    </w:p>
    <w:p w14:paraId="5CCD35B8" w14:textId="531C5E29" w:rsidR="001D5244" w:rsidRDefault="001D5244" w:rsidP="001D5244">
      <w:pPr>
        <w:pStyle w:val="Heading2"/>
        <w:spacing w:before="0" w:after="240"/>
        <w:jc w:val="center"/>
      </w:pPr>
      <w:r w:rsidRPr="48BBA2EF">
        <w:rPr>
          <w:rFonts w:ascii="Calibri" w:hAnsi="Calibri" w:cs="Calibri"/>
          <w:color w:val="000000" w:themeColor="text1"/>
          <w:sz w:val="28"/>
          <w:szCs w:val="28"/>
          <w:u w:val="single"/>
        </w:rPr>
        <w:lastRenderedPageBreak/>
        <w:t>Grade</w:t>
      </w:r>
      <w:r w:rsidR="63EC52AF" w:rsidRPr="48BBA2EF">
        <w:rPr>
          <w:rFonts w:ascii="Calibri" w:hAnsi="Calibri" w:cs="Calibri"/>
          <w:color w:val="000000" w:themeColor="text1"/>
          <w:sz w:val="28"/>
          <w:szCs w:val="28"/>
          <w:u w:val="single"/>
        </w:rPr>
        <w:t xml:space="preserve"> 5</w:t>
      </w:r>
      <w:r w:rsidRPr="48BBA2EF">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33077D51">
        <w:trPr>
          <w:trHeight w:val="5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D36"/>
            <w:tcMar>
              <w:top w:w="100" w:type="dxa"/>
              <w:left w:w="100" w:type="dxa"/>
              <w:bottom w:w="100" w:type="dxa"/>
              <w:right w:w="100" w:type="dxa"/>
            </w:tcMar>
            <w:hideMark/>
          </w:tcPr>
          <w:p w14:paraId="3EE1D328" w14:textId="77777777" w:rsidR="00B35A8A" w:rsidRDefault="00B35A8A" w:rsidP="00AC641C">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6CBFC0E0" w:rsidR="00B35A8A" w:rsidRDefault="4472F18F" w:rsidP="33077D51">
            <w:pPr>
              <w:pStyle w:val="NormalWeb"/>
              <w:spacing w:before="0" w:beforeAutospacing="0" w:after="0" w:afterAutospacing="0"/>
            </w:pPr>
            <w:r w:rsidRPr="33077D51">
              <w:rPr>
                <w:rFonts w:ascii="Calibri" w:hAnsi="Calibri" w:cs="Calibri"/>
                <w:color w:val="000000" w:themeColor="text1"/>
              </w:rPr>
              <w:t xml:space="preserve">• Anticipating &amp; evaluating the consequences of one’s </w:t>
            </w:r>
            <w:r w:rsidR="7175255F" w:rsidRPr="33077D51">
              <w:rPr>
                <w:rFonts w:ascii="Calibri" w:hAnsi="Calibri" w:cs="Calibri"/>
                <w:color w:val="000000" w:themeColor="text1"/>
              </w:rPr>
              <w:t>actions  •</w:t>
            </w:r>
            <w:r w:rsidRPr="33077D51">
              <w:rPr>
                <w:rFonts w:ascii="Calibri" w:hAnsi="Calibri" w:cs="Calibri"/>
                <w:color w:val="000000" w:themeColor="text1"/>
              </w:rPr>
              <w:t xml:space="preserve">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33077D51">
        <w:tc>
          <w:tcPr>
            <w:tcW w:w="14390" w:type="dxa"/>
          </w:tcPr>
          <w:p w14:paraId="2EC441CA" w14:textId="77777777" w:rsidR="001E5B88" w:rsidRDefault="68CE448B" w:rsidP="001E5B88">
            <w:pPr>
              <w:pStyle w:val="NormalWeb"/>
              <w:spacing w:before="0" w:beforeAutospacing="0" w:after="0" w:afterAutospacing="0"/>
            </w:pPr>
            <w:r w:rsidRPr="37FB76D8">
              <w:rPr>
                <w:rFonts w:ascii="Calibri" w:hAnsi="Calibri" w:cs="Calibri"/>
                <w:color w:val="000000" w:themeColor="text1"/>
              </w:rPr>
              <w:t xml:space="preserve">Considerations when designing mathematics instruction that fosters </w:t>
            </w:r>
            <w:r w:rsidRPr="37FB76D8">
              <w:rPr>
                <w:rFonts w:ascii="Calibri" w:hAnsi="Calibri" w:cs="Calibri"/>
                <w:b/>
                <w:bCs/>
                <w:color w:val="000000" w:themeColor="text1"/>
              </w:rPr>
              <w:t>responsible decision making:</w:t>
            </w:r>
          </w:p>
          <w:p w14:paraId="2397C030" w14:textId="3C1B1163" w:rsidR="37FB76D8" w:rsidRDefault="37FB76D8" w:rsidP="37FB76D8">
            <w:pPr>
              <w:pStyle w:val="NormalWeb"/>
              <w:spacing w:before="0" w:beforeAutospacing="0" w:after="0" w:afterAutospacing="0"/>
              <w:rPr>
                <w:rFonts w:ascii="Calibri" w:hAnsi="Calibri" w:cs="Calibri"/>
                <w:b/>
                <w:bCs/>
                <w:color w:val="000000" w:themeColor="text1"/>
              </w:rPr>
            </w:pPr>
          </w:p>
          <w:p w14:paraId="3A1CC164" w14:textId="1848125D" w:rsidR="001E5B88" w:rsidRDefault="709AA76F" w:rsidP="37FB76D8">
            <w:pPr>
              <w:pStyle w:val="NormalWeb"/>
              <w:numPr>
                <w:ilvl w:val="0"/>
                <w:numId w:val="40"/>
              </w:numPr>
              <w:spacing w:before="0" w:beforeAutospacing="0" w:after="200" w:afterAutospacing="0"/>
              <w:ind w:right="84"/>
              <w:textAlignment w:val="baseline"/>
              <w:rPr>
                <w:rFonts w:ascii="Calibri" w:hAnsi="Calibri" w:cs="Calibri"/>
                <w:color w:val="000000"/>
                <w:sz w:val="22"/>
                <w:szCs w:val="22"/>
              </w:rPr>
            </w:pPr>
            <w:r w:rsidRPr="33077D51">
              <w:rPr>
                <w:rFonts w:ascii="Calibri" w:hAnsi="Calibri" w:cs="Calibri"/>
                <w:b/>
                <w:bCs/>
                <w:color w:val="000000" w:themeColor="text1"/>
                <w:sz w:val="22"/>
                <w:szCs w:val="22"/>
              </w:rPr>
              <w:t xml:space="preserve">Provide opportunities for students to make responsible decisions after analyzing information. </w:t>
            </w:r>
            <w:r w:rsidRPr="33077D51">
              <w:rPr>
                <w:rFonts w:ascii="Calibri" w:hAnsi="Calibri" w:cs="Calibri"/>
                <w:color w:val="000000" w:themeColor="text1"/>
                <w:sz w:val="22"/>
                <w:szCs w:val="22"/>
              </w:rPr>
              <w:t xml:space="preserve">Give students problem </w:t>
            </w:r>
            <w:r w:rsidR="66FE5ABD" w:rsidRPr="33077D51">
              <w:rPr>
                <w:rFonts w:ascii="Calibri" w:hAnsi="Calibri" w:cs="Calibri"/>
                <w:color w:val="000000" w:themeColor="text1"/>
                <w:sz w:val="22"/>
                <w:szCs w:val="22"/>
              </w:rPr>
              <w:t>scenarios and</w:t>
            </w:r>
            <w:r w:rsidRPr="33077D51">
              <w:rPr>
                <w:rFonts w:ascii="Calibri" w:hAnsi="Calibri" w:cs="Calibri"/>
                <w:color w:val="000000" w:themeColor="text1"/>
                <w:sz w:val="22"/>
                <w:szCs w:val="22"/>
              </w:rPr>
              <w:t xml:space="preserve"> ask them to work in pairs/groups to decide what they would do. Students may benefit from using think-aloud strategies (or hearing the strategies others use) as they make sense of problems and persevere in solving them (MP.1). Providing opportunities for student discourse, whether during small group or whole class instruction, also will help build mathematical vocabulary. For </w:t>
            </w:r>
            <w:r w:rsidR="01C98D50" w:rsidRPr="33077D51">
              <w:rPr>
                <w:rFonts w:ascii="Calibri" w:hAnsi="Calibri" w:cs="Calibri"/>
                <w:color w:val="000000" w:themeColor="text1"/>
                <w:sz w:val="22"/>
                <w:szCs w:val="22"/>
              </w:rPr>
              <w:t>example,</w:t>
            </w:r>
            <w:r w:rsidRPr="33077D51">
              <w:rPr>
                <w:rFonts w:ascii="Calibri" w:hAnsi="Calibri" w:cs="Calibri"/>
                <w:color w:val="000000" w:themeColor="text1"/>
                <w:sz w:val="22"/>
                <w:szCs w:val="22"/>
              </w:rPr>
              <w:t xml:space="preserve"> in </w:t>
            </w:r>
            <w:hyperlink r:id="rId37" w:anchor="page=111">
              <w:r w:rsidRPr="33077D51">
                <w:rPr>
                  <w:rStyle w:val="Hyperlink"/>
                  <w:rFonts w:ascii="Calibri" w:hAnsi="Calibri" w:cs="Calibri"/>
                  <w:color w:val="1155CC"/>
                  <w:sz w:val="22"/>
                  <w:szCs w:val="22"/>
                </w:rPr>
                <w:t>Measurement and Data, Cluster: Understand and apply the statistics process</w:t>
              </w:r>
            </w:hyperlink>
            <w:r w:rsidRPr="33077D51">
              <w:rPr>
                <w:rFonts w:ascii="Calibri" w:hAnsi="Calibri" w:cs="Calibri"/>
                <w:color w:val="000000" w:themeColor="text1"/>
                <w:sz w:val="22"/>
                <w:szCs w:val="22"/>
              </w:rPr>
              <w:t xml:space="preserve">, after gathering data on a question of interest, students recognize they have many data points and therefore, decide they will do a scaled graph (MP.4). Students create the </w:t>
            </w:r>
            <w:r w:rsidR="1DEEEEBB" w:rsidRPr="33077D51">
              <w:rPr>
                <w:rFonts w:ascii="Calibri" w:hAnsi="Calibri" w:cs="Calibri"/>
                <w:color w:val="000000" w:themeColor="text1"/>
                <w:sz w:val="22"/>
                <w:szCs w:val="22"/>
              </w:rPr>
              <w:t>graph;</w:t>
            </w:r>
            <w:r w:rsidRPr="33077D51">
              <w:rPr>
                <w:rFonts w:ascii="Calibri" w:hAnsi="Calibri" w:cs="Calibri"/>
                <w:color w:val="000000" w:themeColor="text1"/>
                <w:sz w:val="22"/>
                <w:szCs w:val="22"/>
              </w:rPr>
              <w:t xml:space="preserve"> they decide to do a picture graph and pick a scale of 1 picture = 4 data points (MP.6). In another situation, students recognize they </w:t>
            </w:r>
            <w:r w:rsidR="261A3CCC" w:rsidRPr="33077D51">
              <w:rPr>
                <w:rFonts w:ascii="Calibri" w:hAnsi="Calibri" w:cs="Calibri"/>
                <w:color w:val="000000" w:themeColor="text1"/>
                <w:sz w:val="22"/>
                <w:szCs w:val="22"/>
              </w:rPr>
              <w:t>have numerical data, create a dot plot,</w:t>
            </w:r>
            <w:r w:rsidRPr="33077D51">
              <w:rPr>
                <w:rFonts w:ascii="Calibri" w:hAnsi="Calibri" w:cs="Calibri"/>
                <w:color w:val="000000" w:themeColor="text1"/>
                <w:sz w:val="22"/>
                <w:szCs w:val="22"/>
              </w:rPr>
              <w:t xml:space="preserve"> and decide to use a spreadsheet on the computer to create the graph (MP.5). Students compare how dot plots and bar graphs are similar and different, recognizing when to use each (MP.6).</w:t>
            </w:r>
          </w:p>
          <w:p w14:paraId="05A8CFB8" w14:textId="5045B62F" w:rsidR="001E5B88" w:rsidRPr="001E5B88" w:rsidRDefault="709AA76F" w:rsidP="37FB76D8">
            <w:pPr>
              <w:pStyle w:val="NormalWeb"/>
              <w:numPr>
                <w:ilvl w:val="0"/>
                <w:numId w:val="40"/>
              </w:numPr>
              <w:spacing w:before="0" w:beforeAutospacing="0" w:after="200" w:afterAutospacing="0"/>
              <w:ind w:right="84"/>
              <w:textAlignment w:val="baseline"/>
            </w:pPr>
            <w:r>
              <w:rPr>
                <w:rFonts w:ascii="Calibri" w:hAnsi="Calibri" w:cs="Calibri"/>
                <w:b/>
                <w:bCs/>
                <w:color w:val="000000"/>
                <w:sz w:val="22"/>
                <w:szCs w:val="22"/>
              </w:rPr>
              <w:t xml:space="preserve">Model good decision-making. </w:t>
            </w:r>
            <w:r>
              <w:rPr>
                <w:rFonts w:ascii="Calibri" w:hAnsi="Calibri" w:cs="Calibri"/>
                <w:color w:val="000000"/>
                <w:sz w:val="22"/>
                <w:szCs w:val="22"/>
                <w:shd w:val="clear" w:color="auto" w:fill="FFFFFF"/>
              </w:rPr>
              <w:t xml:space="preserve">Establish classroom discussion norms that support facilitating discourse among students to build a shared understanding of mathematical ideas by analyzing and comparing student approaches and arguments (NCTM, 2014). Making intentional choices about the language used when modeling “think aloud” strategies can be </w:t>
            </w:r>
            <w:r w:rsidR="5E6990F5">
              <w:rPr>
                <w:rFonts w:ascii="Calibri" w:hAnsi="Calibri" w:cs="Calibri"/>
                <w:color w:val="000000"/>
                <w:sz w:val="22"/>
                <w:szCs w:val="22"/>
                <w:shd w:val="clear" w:color="auto" w:fill="FFFFFF"/>
              </w:rPr>
              <w:t>impactful</w:t>
            </w:r>
            <w:r>
              <w:rPr>
                <w:rFonts w:ascii="Calibri" w:hAnsi="Calibri" w:cs="Calibri"/>
                <w:color w:val="000000"/>
                <w:sz w:val="22"/>
                <w:szCs w:val="22"/>
                <w:shd w:val="clear" w:color="auto" w:fill="FFFFFF"/>
              </w:rPr>
              <w:t xml:space="preserve">. </w:t>
            </w:r>
            <w:r>
              <w:rPr>
                <w:rFonts w:ascii="Calibri" w:hAnsi="Calibri" w:cs="Calibri"/>
                <w:color w:val="000000"/>
                <w:sz w:val="22"/>
                <w:szCs w:val="22"/>
              </w:rPr>
              <w:t xml:space="preserve">Provide opportunities for students to evaluate expressions and as they realize there are options within the order of operations. For </w:t>
            </w:r>
            <w:r w:rsidR="295FA436">
              <w:rPr>
                <w:rFonts w:ascii="Calibri" w:hAnsi="Calibri" w:cs="Calibri"/>
                <w:color w:val="000000"/>
                <w:sz w:val="22"/>
                <w:szCs w:val="22"/>
              </w:rPr>
              <w:t>example,</w:t>
            </w:r>
            <w:r>
              <w:rPr>
                <w:rFonts w:ascii="Calibri" w:hAnsi="Calibri" w:cs="Calibri"/>
                <w:color w:val="000000"/>
                <w:sz w:val="22"/>
                <w:szCs w:val="22"/>
              </w:rPr>
              <w:t xml:space="preserve"> in </w:t>
            </w:r>
            <w:hyperlink r:id="rId38" w:anchor="page=98" w:history="1">
              <w:r>
                <w:rPr>
                  <w:rStyle w:val="Hyperlink"/>
                  <w:rFonts w:ascii="Calibri" w:hAnsi="Calibri" w:cs="Calibri"/>
                  <w:color w:val="1155CC"/>
                  <w:sz w:val="22"/>
                  <w:szCs w:val="22"/>
                </w:rPr>
                <w:t>Operations and Algebraic Thinking, Cluster: Write and interpret numerical expressions</w:t>
              </w:r>
            </w:hyperlink>
            <w:r>
              <w:rPr>
                <w:rFonts w:ascii="Calibri" w:hAnsi="Calibri" w:cs="Calibri"/>
                <w:color w:val="000000"/>
                <w:sz w:val="22"/>
                <w:szCs w:val="22"/>
              </w:rPr>
              <w:t xml:space="preserve">, students move between words and symbols, understanding equivalent ways to express a statement. Students interpret the statement “The sum of 347, 124 and 99, divided by 30 as, (347 + 124 + 99) ÷ 30 and as 347 + 124 + 99 30 (MP.7). Students could add the three values and then divide by </w:t>
            </w:r>
            <w:r w:rsidR="1DFAD113">
              <w:rPr>
                <w:rFonts w:ascii="Calibri" w:hAnsi="Calibri" w:cs="Calibri"/>
                <w:color w:val="000000"/>
                <w:sz w:val="22"/>
                <w:szCs w:val="22"/>
              </w:rPr>
              <w:t>30 or</w:t>
            </w:r>
            <w:r>
              <w:rPr>
                <w:rFonts w:ascii="Calibri" w:hAnsi="Calibri" w:cs="Calibri"/>
                <w:color w:val="000000"/>
                <w:sz w:val="22"/>
                <w:szCs w:val="22"/>
              </w:rPr>
              <w:t xml:space="preserve"> divide each addend by 30 and get the same answer. They think of a context to convince themselves two options will lead to the same answer (MP.2). In this case, students consider the two options and see the first idea is less ‘messy’ and therefore, a good choice (MP.1).</w:t>
            </w:r>
          </w:p>
          <w:p w14:paraId="5642D077" w14:textId="24908BF5" w:rsidR="000C0DC6" w:rsidRDefault="709AA76F" w:rsidP="37FB76D8">
            <w:pPr>
              <w:pStyle w:val="NormalWeb"/>
              <w:numPr>
                <w:ilvl w:val="0"/>
                <w:numId w:val="40"/>
              </w:numPr>
              <w:spacing w:before="0" w:beforeAutospacing="0" w:after="200" w:afterAutospacing="0"/>
              <w:ind w:right="84"/>
              <w:textAlignment w:val="baseline"/>
            </w:pPr>
            <w:r>
              <w:rPr>
                <w:rFonts w:ascii="Calibri" w:hAnsi="Calibri" w:cs="Calibri"/>
                <w:b/>
                <w:bCs/>
                <w:color w:val="3C4043"/>
                <w:sz w:val="22"/>
                <w:szCs w:val="22"/>
                <w:shd w:val="clear" w:color="auto" w:fill="FFFFFF"/>
              </w:rPr>
              <w:lastRenderedPageBreak/>
              <w:t xml:space="preserve">Engage students in learning where they develop voice and perspective to </w:t>
            </w:r>
            <w:r w:rsidR="5533AA6B">
              <w:rPr>
                <w:rFonts w:ascii="Calibri" w:hAnsi="Calibri" w:cs="Calibri"/>
                <w:b/>
                <w:bCs/>
                <w:color w:val="3C4043"/>
                <w:sz w:val="22"/>
                <w:szCs w:val="22"/>
                <w:shd w:val="clear" w:color="auto" w:fill="FFFFFF"/>
              </w:rPr>
              <w:t>participate in the local context more fully</w:t>
            </w:r>
            <w:r>
              <w:rPr>
                <w:rFonts w:ascii="Calibri" w:hAnsi="Calibri" w:cs="Calibri"/>
                <w:b/>
                <w:bCs/>
                <w:color w:val="3C4043"/>
                <w:sz w:val="22"/>
                <w:szCs w:val="22"/>
                <w:shd w:val="clear" w:color="auto" w:fill="FFFFFF"/>
              </w:rPr>
              <w:t xml:space="preserve">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39"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w:t>
            </w:r>
            <w:r w:rsidR="162737F0">
              <w:rPr>
                <w:rFonts w:ascii="Calibri" w:hAnsi="Calibri" w:cs="Calibri"/>
                <w:color w:val="000000"/>
                <w:sz w:val="22"/>
                <w:szCs w:val="22"/>
                <w:shd w:val="clear" w:color="auto" w:fill="FFFFFF"/>
              </w:rPr>
              <w:t>5–10-minute</w:t>
            </w:r>
            <w:r>
              <w:rPr>
                <w:rFonts w:ascii="Calibri" w:hAnsi="Calibri" w:cs="Calibri"/>
                <w:color w:val="000000"/>
                <w:sz w:val="22"/>
                <w:szCs w:val="22"/>
                <w:shd w:val="clear" w:color="auto" w:fill="FFFFFF"/>
              </w:rPr>
              <w:t xml:space="preserve"> classroom discussions to help students develop data literacy. Utilizing </w:t>
            </w:r>
            <w:hyperlink r:id="rId40"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41"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powerful tool in creating curiosity, offering multiple entry points to a discussion on data and eliciting profound noticings from students. When </w:t>
            </w:r>
            <w:r>
              <w:rPr>
                <w:rFonts w:ascii="Calibri" w:hAnsi="Calibri" w:cs="Calibri"/>
                <w:color w:val="000000"/>
                <w:sz w:val="22"/>
                <w:szCs w:val="22"/>
              </w:rPr>
              <w:t xml:space="preserve">learning to make a 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p>
        </w:tc>
      </w:tr>
    </w:tbl>
    <w:p w14:paraId="362D3552" w14:textId="7AE916A2" w:rsidR="000C0DC6" w:rsidRDefault="000C0DC6" w:rsidP="00061D9D">
      <w:pPr>
        <w:spacing w:after="0"/>
      </w:pPr>
    </w:p>
    <w:tbl>
      <w:tblPr>
        <w:tblStyle w:val="TableGrid"/>
        <w:tblW w:w="0" w:type="auto"/>
        <w:tblLook w:val="04A0" w:firstRow="1" w:lastRow="0" w:firstColumn="1" w:lastColumn="0" w:noHBand="0" w:noVBand="1"/>
      </w:tblPr>
      <w:tblGrid>
        <w:gridCol w:w="14390"/>
      </w:tblGrid>
      <w:tr w:rsidR="009C0F23" w14:paraId="52F1933D" w14:textId="77777777" w:rsidTr="00BA3E29">
        <w:tc>
          <w:tcPr>
            <w:tcW w:w="14390" w:type="dxa"/>
            <w:shd w:val="clear" w:color="auto" w:fill="EDEDED" w:themeFill="accent3" w:themeFillTint="33"/>
          </w:tcPr>
          <w:p w14:paraId="64830CE1" w14:textId="77777777" w:rsidR="009C0F23" w:rsidRDefault="009C0F23"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1292063B" w14:textId="77777777" w:rsidR="009C0F23" w:rsidRDefault="009C0F23" w:rsidP="009C0F23">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0705CDE5" w14:textId="77777777" w:rsidR="009C0F23" w:rsidRDefault="009C0F23" w:rsidP="009C0F23">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42"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04B8701C" w14:textId="77777777" w:rsidR="009C0F23" w:rsidRDefault="009C0F23" w:rsidP="009C0F23">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32B19234" w14:textId="77777777" w:rsidR="009C0F23" w:rsidRPr="001048EC" w:rsidRDefault="009C0F23" w:rsidP="009C0F23">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614298EC" w14:textId="77777777" w:rsidR="009C0F23" w:rsidRDefault="009C0F23" w:rsidP="009C0F23">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43"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2AC5D981" w14:textId="0E44F81B" w:rsidR="00316DF6" w:rsidRDefault="00316DF6" w:rsidP="00316DF6">
      <w:pPr>
        <w:spacing w:after="0"/>
      </w:pPr>
    </w:p>
    <w:tbl>
      <w:tblPr>
        <w:tblStyle w:val="TableGrid"/>
        <w:tblW w:w="0" w:type="auto"/>
        <w:tblLook w:val="04A0" w:firstRow="1" w:lastRow="0" w:firstColumn="1" w:lastColumn="0" w:noHBand="0" w:noVBand="1"/>
      </w:tblPr>
      <w:tblGrid>
        <w:gridCol w:w="14390"/>
      </w:tblGrid>
      <w:tr w:rsidR="00316DF6" w14:paraId="3F9D0E60" w14:textId="77777777" w:rsidTr="00D83523">
        <w:tc>
          <w:tcPr>
            <w:tcW w:w="14390" w:type="dxa"/>
            <w:shd w:val="clear" w:color="auto" w:fill="D9E2F3" w:themeFill="accent1" w:themeFillTint="33"/>
          </w:tcPr>
          <w:p w14:paraId="41ECF8D3" w14:textId="77777777" w:rsidR="00D83523" w:rsidRDefault="00D83523" w:rsidP="00D83523">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responsible decision making </w:t>
            </w:r>
            <w:r>
              <w:rPr>
                <w:rFonts w:ascii="Calibri" w:hAnsi="Calibri" w:cs="Calibri"/>
                <w:color w:val="000000"/>
              </w:rPr>
              <w:t>in students:</w:t>
            </w:r>
          </w:p>
          <w:p w14:paraId="3B128EEB" w14:textId="77777777" w:rsidR="00D83523" w:rsidRDefault="00D83523" w:rsidP="00D83523">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Does your plan make sense? Why or why not? (MP.1)</w:t>
            </w:r>
          </w:p>
          <w:p w14:paraId="5201A629" w14:textId="77777777" w:rsidR="00D83523" w:rsidRDefault="00D83523" w:rsidP="00D83523">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explain what you’ve done so far? (MP.2)</w:t>
            </w:r>
          </w:p>
          <w:p w14:paraId="3CFC8C3E" w14:textId="5C01DB63" w:rsidR="00316DF6" w:rsidRPr="00D83523" w:rsidRDefault="00D83523" w:rsidP="00D83523">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labels could you use?</w:t>
            </w:r>
          </w:p>
        </w:tc>
      </w:tr>
    </w:tbl>
    <w:p w14:paraId="06EEED78" w14:textId="77777777" w:rsidR="00316DF6" w:rsidRDefault="00316DF6" w:rsidP="00316DF6">
      <w:pPr>
        <w:spacing w:after="0"/>
      </w:pPr>
    </w:p>
    <w:p w14:paraId="25F83564" w14:textId="77777777" w:rsidR="00316DF6" w:rsidRDefault="00316DF6" w:rsidP="00316DF6">
      <w:pPr>
        <w:pStyle w:val="NormalWeb"/>
        <w:spacing w:before="5" w:beforeAutospacing="0" w:after="0" w:afterAutospacing="0"/>
      </w:pPr>
      <w:r>
        <w:rPr>
          <w:rFonts w:ascii="Calibri" w:hAnsi="Calibri" w:cs="Calibri"/>
          <w:color w:val="000000"/>
          <w:sz w:val="22"/>
          <w:szCs w:val="22"/>
        </w:rPr>
        <w:t xml:space="preserve">*For additional support integrating the Standards for Mathematical Practice access the </w:t>
      </w:r>
      <w:hyperlink r:id="rId44" w:history="1">
        <w:r>
          <w:rPr>
            <w:rStyle w:val="Hyperlink"/>
            <w:rFonts w:ascii="Calibri" w:hAnsi="Calibri" w:cs="Calibri"/>
            <w:color w:val="1155CC"/>
            <w:sz w:val="22"/>
            <w:szCs w:val="22"/>
          </w:rPr>
          <w:t>Engaging the SMPs: Look fors and Question Stems</w:t>
        </w:r>
      </w:hyperlink>
      <w:r>
        <w:rPr>
          <w:rFonts w:ascii="Calibri" w:hAnsi="Calibri" w:cs="Calibri"/>
          <w:color w:val="000000"/>
          <w:sz w:val="22"/>
          <w:szCs w:val="22"/>
        </w:rPr>
        <w:t xml:space="preserve"> resource. </w:t>
      </w:r>
    </w:p>
    <w:p w14:paraId="5B162CDA" w14:textId="22B8E8C0" w:rsidR="00992DB1" w:rsidRDefault="00992DB1">
      <w:r>
        <w:br w:type="page"/>
      </w:r>
    </w:p>
    <w:p w14:paraId="6CD05387" w14:textId="77777777" w:rsidR="00992DB1" w:rsidRDefault="00992DB1" w:rsidP="00992DB1">
      <w:pPr>
        <w:pStyle w:val="NormalWeb"/>
        <w:spacing w:before="5" w:beforeAutospacing="0" w:after="0" w:afterAutospacing="0"/>
        <w:jc w:val="center"/>
      </w:pPr>
      <w:r>
        <w:rPr>
          <w:rFonts w:ascii="Calibri" w:hAnsi="Calibri" w:cs="Calibri"/>
          <w:b/>
          <w:bCs/>
          <w:color w:val="000000"/>
          <w:sz w:val="28"/>
          <w:szCs w:val="28"/>
        </w:rPr>
        <w:lastRenderedPageBreak/>
        <w:t>References</w:t>
      </w:r>
    </w:p>
    <w:p w14:paraId="0F2154C3"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45" w:history="1">
        <w:r>
          <w:rPr>
            <w:rStyle w:val="Hyperlink"/>
            <w:rFonts w:ascii="Calibri" w:hAnsi="Calibri" w:cs="Calibri"/>
            <w:color w:val="1155CC"/>
          </w:rPr>
          <w:t>https://www.air.org/resource/when-districts-support-and-integrate-social-and-emotional-learning-sel</w:t>
        </w:r>
      </w:hyperlink>
    </w:p>
    <w:p w14:paraId="0CBD73EA"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46"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5B149EE3"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47" w:history="1">
        <w:r>
          <w:rPr>
            <w:rStyle w:val="Hyperlink"/>
            <w:rFonts w:ascii="Calibri" w:hAnsi="Calibri" w:cs="Calibri"/>
            <w:color w:val="1155CC"/>
          </w:rPr>
          <w:t>https://www.casel.org/wp-content/uploads/2017/08/Sample-Teaching-Activities-to-Support-Core-Competencies-8-20-17.pdf</w:t>
        </w:r>
      </w:hyperlink>
    </w:p>
    <w:p w14:paraId="41206439"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48" w:history="1">
        <w:r>
          <w:rPr>
            <w:rStyle w:val="Hyperlink"/>
            <w:rFonts w:ascii="Calibri" w:hAnsi="Calibri" w:cs="Calibri"/>
            <w:color w:val="1155CC"/>
          </w:rPr>
          <w:t>https://casel.org/wp-content/uploads/2020/11/SEL-Guidance-2020-Election.pdf</w:t>
        </w:r>
      </w:hyperlink>
    </w:p>
    <w:p w14:paraId="12B1BEEB"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49" w:history="1">
        <w:r>
          <w:rPr>
            <w:rStyle w:val="Hyperlink"/>
            <w:rFonts w:ascii="Calibri" w:hAnsi="Calibri" w:cs="Calibri"/>
            <w:color w:val="1155CC"/>
          </w:rPr>
          <w:t>https://www.iejme.com/download/critical-mathematics-education-recognizing-the-ethical-dimension-of-problem-solving.pdf</w:t>
        </w:r>
      </w:hyperlink>
    </w:p>
    <w:p w14:paraId="47F5F98A"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50" w:history="1">
        <w:r>
          <w:rPr>
            <w:rStyle w:val="Hyperlink"/>
            <w:rFonts w:ascii="Calibri" w:hAnsi="Calibri" w:cs="Calibri"/>
            <w:color w:val="1155CC"/>
          </w:rPr>
          <w:t>https://ggie.berkeley.edu/academic-instruction/prosocial-math/</w:t>
        </w:r>
      </w:hyperlink>
    </w:p>
    <w:p w14:paraId="4272F781"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51" w:history="1">
        <w:r>
          <w:rPr>
            <w:rStyle w:val="Hyperlink"/>
            <w:rFonts w:ascii="Calibri" w:hAnsi="Calibri" w:cs="Calibri"/>
            <w:color w:val="1155CC"/>
          </w:rPr>
          <w:t>http://www.nctm.org/principlestoactions</w:t>
        </w:r>
      </w:hyperlink>
    </w:p>
    <w:p w14:paraId="4F8DD792"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52" w:history="1">
        <w:r>
          <w:rPr>
            <w:rStyle w:val="Hyperlink"/>
            <w:rFonts w:ascii="Calibri" w:hAnsi="Calibri" w:cs="Calibri"/>
            <w:color w:val="1155CC"/>
          </w:rPr>
          <w:t>https://achievethecore.org/page/3267/2020-21-priority-instructional-content-in-english-language-arts-literacy-and-mathematics</w:t>
        </w:r>
      </w:hyperlink>
    </w:p>
    <w:p w14:paraId="0F93CF5D"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53" w:history="1">
        <w:r>
          <w:rPr>
            <w:rStyle w:val="Hyperlink"/>
            <w:rFonts w:ascii="Calibri" w:hAnsi="Calibri" w:cs="Calibri"/>
            <w:color w:val="1155CC"/>
          </w:rPr>
          <w:t>https://www.aspeninstitute.org/wp-content/uploads/2017/05/ThisTimeWithFeeling.pdf?_ga=2.148520830.875950129.1594644850-1543107257.1594644850</w:t>
        </w:r>
      </w:hyperlink>
    </w:p>
    <w:p w14:paraId="3486D5AA"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54" w:history="1">
        <w:r>
          <w:rPr>
            <w:rStyle w:val="Hyperlink"/>
            <w:rFonts w:ascii="Calibri" w:hAnsi="Calibri" w:cs="Calibri"/>
            <w:color w:val="1155CC"/>
          </w:rPr>
          <w:t>https://www.aspeninstitute.org/publications/learning-happens-supporting-students-social-emotional-academic-development/</w:t>
        </w:r>
      </w:hyperlink>
    </w:p>
    <w:p w14:paraId="33BF9B0C" w14:textId="77777777" w:rsidR="00992DB1" w:rsidRDefault="00992DB1" w:rsidP="00992DB1">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55"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58ABEF5A"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56" w:history="1">
        <w:r>
          <w:rPr>
            <w:rStyle w:val="Hyperlink"/>
            <w:rFonts w:ascii="Calibri" w:hAnsi="Calibri" w:cs="Calibri"/>
            <w:color w:val="1155CC"/>
          </w:rPr>
          <w:t>https://edtrust.org/wp-content/uploads/2014/09/Social-Emotional-and-Academic-Development-Through-an-Equity-Lens-August-6-2020.pdf</w:t>
        </w:r>
      </w:hyperlink>
    </w:p>
    <w:p w14:paraId="570A4149" w14:textId="77777777" w:rsidR="00992DB1" w:rsidRDefault="00992DB1" w:rsidP="00992DB1">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57" w:history="1">
        <w:r>
          <w:rPr>
            <w:rStyle w:val="Hyperlink"/>
            <w:rFonts w:ascii="Calibri" w:hAnsi="Calibri" w:cs="Calibri"/>
            <w:color w:val="1155CC"/>
          </w:rPr>
          <w:t>https://equitablemath.org</w:t>
        </w:r>
      </w:hyperlink>
    </w:p>
    <w:p w14:paraId="73E6802E" w14:textId="77777777" w:rsidR="00992DB1" w:rsidRDefault="00992DB1" w:rsidP="00DD77BE"/>
    <w:sectPr w:rsidR="00992DB1" w:rsidSect="008A28BD">
      <w:footerReference w:type="default" r:id="rId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B001" w14:textId="77777777" w:rsidR="00777902" w:rsidRDefault="00777902" w:rsidP="00777902">
      <w:pPr>
        <w:spacing w:after="0" w:line="240" w:lineRule="auto"/>
      </w:pPr>
      <w:r>
        <w:separator/>
      </w:r>
    </w:p>
  </w:endnote>
  <w:endnote w:type="continuationSeparator" w:id="0">
    <w:p w14:paraId="0173FEF9" w14:textId="77777777" w:rsidR="00777902" w:rsidRDefault="00777902" w:rsidP="0077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74026"/>
      <w:docPartObj>
        <w:docPartGallery w:val="Page Numbers (Bottom of Page)"/>
        <w:docPartUnique/>
      </w:docPartObj>
    </w:sdtPr>
    <w:sdtEndPr>
      <w:rPr>
        <w:noProof/>
      </w:rPr>
    </w:sdtEndPr>
    <w:sdtContent>
      <w:p w14:paraId="64F94222" w14:textId="2707D90F" w:rsidR="00777902" w:rsidRDefault="00777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880C4" w14:textId="77777777" w:rsidR="00777902" w:rsidRDefault="0077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598E2" w14:textId="77777777" w:rsidR="00777902" w:rsidRDefault="00777902" w:rsidP="00777902">
      <w:pPr>
        <w:spacing w:after="0" w:line="240" w:lineRule="auto"/>
      </w:pPr>
      <w:r>
        <w:separator/>
      </w:r>
    </w:p>
  </w:footnote>
  <w:footnote w:type="continuationSeparator" w:id="0">
    <w:p w14:paraId="5BE55289" w14:textId="77777777" w:rsidR="00777902" w:rsidRDefault="00777902" w:rsidP="00777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B1AD7"/>
    <w:multiLevelType w:val="multilevel"/>
    <w:tmpl w:val="AE6839D2"/>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A7D8B"/>
    <w:multiLevelType w:val="multilevel"/>
    <w:tmpl w:val="37F2A9F2"/>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D11C6"/>
    <w:multiLevelType w:val="multilevel"/>
    <w:tmpl w:val="6374DA2A"/>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46447"/>
    <w:multiLevelType w:val="multilevel"/>
    <w:tmpl w:val="99EA2676"/>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27E65"/>
    <w:multiLevelType w:val="multilevel"/>
    <w:tmpl w:val="6D2A854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B0DA6"/>
    <w:multiLevelType w:val="multilevel"/>
    <w:tmpl w:val="A48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F5DF0"/>
    <w:multiLevelType w:val="multilevel"/>
    <w:tmpl w:val="0E8C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744102"/>
    <w:multiLevelType w:val="multilevel"/>
    <w:tmpl w:val="707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61854"/>
    <w:multiLevelType w:val="multilevel"/>
    <w:tmpl w:val="2A6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618D7"/>
    <w:multiLevelType w:val="multilevel"/>
    <w:tmpl w:val="3B0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39"/>
  </w:num>
  <w:num w:numId="4">
    <w:abstractNumId w:val="10"/>
  </w:num>
  <w:num w:numId="5">
    <w:abstractNumId w:val="0"/>
  </w:num>
  <w:num w:numId="6">
    <w:abstractNumId w:val="37"/>
  </w:num>
  <w:num w:numId="7">
    <w:abstractNumId w:val="29"/>
  </w:num>
  <w:num w:numId="8">
    <w:abstractNumId w:val="35"/>
  </w:num>
  <w:num w:numId="9">
    <w:abstractNumId w:val="2"/>
  </w:num>
  <w:num w:numId="10">
    <w:abstractNumId w:val="26"/>
  </w:num>
  <w:num w:numId="11">
    <w:abstractNumId w:val="3"/>
  </w:num>
  <w:num w:numId="12">
    <w:abstractNumId w:val="7"/>
  </w:num>
  <w:num w:numId="13">
    <w:abstractNumId w:val="34"/>
  </w:num>
  <w:num w:numId="14">
    <w:abstractNumId w:val="31"/>
  </w:num>
  <w:num w:numId="15">
    <w:abstractNumId w:val="1"/>
  </w:num>
  <w:num w:numId="16">
    <w:abstractNumId w:val="23"/>
  </w:num>
  <w:num w:numId="17">
    <w:abstractNumId w:val="19"/>
  </w:num>
  <w:num w:numId="18">
    <w:abstractNumId w:val="28"/>
  </w:num>
  <w:num w:numId="19">
    <w:abstractNumId w:val="30"/>
  </w:num>
  <w:num w:numId="20">
    <w:abstractNumId w:val="27"/>
  </w:num>
  <w:num w:numId="21">
    <w:abstractNumId w:val="9"/>
  </w:num>
  <w:num w:numId="22">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5"/>
  </w:num>
  <w:num w:numId="33">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14"/>
  </w:num>
  <w:num w:numId="3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4"/>
  </w:num>
  <w:num w:numId="37">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20"/>
  </w:num>
  <w:num w:numId="3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3"/>
  </w:num>
  <w:num w:numId="41">
    <w:abstractNumId w:val="3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60EF4"/>
    <w:rsid w:val="00061D9D"/>
    <w:rsid w:val="000C0DC6"/>
    <w:rsid w:val="000F2F25"/>
    <w:rsid w:val="001100A8"/>
    <w:rsid w:val="00143716"/>
    <w:rsid w:val="001D5244"/>
    <w:rsid w:val="001E5B88"/>
    <w:rsid w:val="00287E22"/>
    <w:rsid w:val="002A22B9"/>
    <w:rsid w:val="002A4745"/>
    <w:rsid w:val="002A4AB2"/>
    <w:rsid w:val="002C71F0"/>
    <w:rsid w:val="00310925"/>
    <w:rsid w:val="00316DF6"/>
    <w:rsid w:val="00344186"/>
    <w:rsid w:val="00346196"/>
    <w:rsid w:val="003C44D5"/>
    <w:rsid w:val="003C4920"/>
    <w:rsid w:val="00447CEB"/>
    <w:rsid w:val="00487097"/>
    <w:rsid w:val="004A4825"/>
    <w:rsid w:val="005F3622"/>
    <w:rsid w:val="006335D2"/>
    <w:rsid w:val="006B4222"/>
    <w:rsid w:val="006F0EED"/>
    <w:rsid w:val="007612DD"/>
    <w:rsid w:val="00777902"/>
    <w:rsid w:val="007846F4"/>
    <w:rsid w:val="007F1A8F"/>
    <w:rsid w:val="00841A5D"/>
    <w:rsid w:val="00850FB3"/>
    <w:rsid w:val="008A28BD"/>
    <w:rsid w:val="008A573E"/>
    <w:rsid w:val="00992DB1"/>
    <w:rsid w:val="009B424E"/>
    <w:rsid w:val="009C0F23"/>
    <w:rsid w:val="009D5B44"/>
    <w:rsid w:val="00A4728D"/>
    <w:rsid w:val="00A50207"/>
    <w:rsid w:val="00AA0436"/>
    <w:rsid w:val="00AC641C"/>
    <w:rsid w:val="00AD2A96"/>
    <w:rsid w:val="00AE1109"/>
    <w:rsid w:val="00AE31D2"/>
    <w:rsid w:val="00B35A8A"/>
    <w:rsid w:val="00B41536"/>
    <w:rsid w:val="00B8358D"/>
    <w:rsid w:val="00BC4298"/>
    <w:rsid w:val="00BD64C5"/>
    <w:rsid w:val="00C428F9"/>
    <w:rsid w:val="00CA775B"/>
    <w:rsid w:val="00CB214C"/>
    <w:rsid w:val="00D16DBA"/>
    <w:rsid w:val="00D34D0C"/>
    <w:rsid w:val="00D83523"/>
    <w:rsid w:val="00DD148C"/>
    <w:rsid w:val="00DD77BE"/>
    <w:rsid w:val="00E847D5"/>
    <w:rsid w:val="00EA1E11"/>
    <w:rsid w:val="00F22E57"/>
    <w:rsid w:val="00F45305"/>
    <w:rsid w:val="00F76FAF"/>
    <w:rsid w:val="00FD0265"/>
    <w:rsid w:val="00FD5172"/>
    <w:rsid w:val="01C98D50"/>
    <w:rsid w:val="08E0DF38"/>
    <w:rsid w:val="09E26DBD"/>
    <w:rsid w:val="09FAB27D"/>
    <w:rsid w:val="0C4EDAC1"/>
    <w:rsid w:val="0CFFE792"/>
    <w:rsid w:val="0F919037"/>
    <w:rsid w:val="108BC7A7"/>
    <w:rsid w:val="11712897"/>
    <w:rsid w:val="126C6C1A"/>
    <w:rsid w:val="1368AF84"/>
    <w:rsid w:val="162737F0"/>
    <w:rsid w:val="168BB1C6"/>
    <w:rsid w:val="17E95050"/>
    <w:rsid w:val="18F14A3A"/>
    <w:rsid w:val="19327FD6"/>
    <w:rsid w:val="19A6C09A"/>
    <w:rsid w:val="1DEEEEBB"/>
    <w:rsid w:val="1DFAD113"/>
    <w:rsid w:val="201E4146"/>
    <w:rsid w:val="246CD185"/>
    <w:rsid w:val="257AC2FA"/>
    <w:rsid w:val="261A3CCC"/>
    <w:rsid w:val="275A3A86"/>
    <w:rsid w:val="27858FD1"/>
    <w:rsid w:val="2785EC69"/>
    <w:rsid w:val="284604F4"/>
    <w:rsid w:val="295AD1A0"/>
    <w:rsid w:val="295FA436"/>
    <w:rsid w:val="2BF78372"/>
    <w:rsid w:val="2C08C93D"/>
    <w:rsid w:val="31CFFD53"/>
    <w:rsid w:val="33077D51"/>
    <w:rsid w:val="34692F71"/>
    <w:rsid w:val="373C2D85"/>
    <w:rsid w:val="37E24E7B"/>
    <w:rsid w:val="37FB76D8"/>
    <w:rsid w:val="397E1EDC"/>
    <w:rsid w:val="39EE44EE"/>
    <w:rsid w:val="3B460A98"/>
    <w:rsid w:val="3BE12D25"/>
    <w:rsid w:val="3CC61194"/>
    <w:rsid w:val="3E6FACF2"/>
    <w:rsid w:val="3EE80AA3"/>
    <w:rsid w:val="4046DDC6"/>
    <w:rsid w:val="415A0830"/>
    <w:rsid w:val="4472F18F"/>
    <w:rsid w:val="4519CFE4"/>
    <w:rsid w:val="45D006ED"/>
    <w:rsid w:val="48BBA2EF"/>
    <w:rsid w:val="4937DFC9"/>
    <w:rsid w:val="493BAA25"/>
    <w:rsid w:val="49EC87D7"/>
    <w:rsid w:val="4C1FC100"/>
    <w:rsid w:val="4EE4EE6A"/>
    <w:rsid w:val="4FE3FC89"/>
    <w:rsid w:val="50C82700"/>
    <w:rsid w:val="511A99E9"/>
    <w:rsid w:val="518ECF1A"/>
    <w:rsid w:val="52B6C6B4"/>
    <w:rsid w:val="5533AA6B"/>
    <w:rsid w:val="55EBB91A"/>
    <w:rsid w:val="56696D69"/>
    <w:rsid w:val="57F9F2FC"/>
    <w:rsid w:val="585C9013"/>
    <w:rsid w:val="5C50142F"/>
    <w:rsid w:val="5E6990F5"/>
    <w:rsid w:val="62A66698"/>
    <w:rsid w:val="63EC52AF"/>
    <w:rsid w:val="657F2CAA"/>
    <w:rsid w:val="65A58FD1"/>
    <w:rsid w:val="66FE5ABD"/>
    <w:rsid w:val="68B59199"/>
    <w:rsid w:val="68CE448B"/>
    <w:rsid w:val="690741F5"/>
    <w:rsid w:val="6A52A12D"/>
    <w:rsid w:val="6AE963BA"/>
    <w:rsid w:val="6BF7F3CF"/>
    <w:rsid w:val="6D6E8023"/>
    <w:rsid w:val="709AA76F"/>
    <w:rsid w:val="70C86689"/>
    <w:rsid w:val="70D01B00"/>
    <w:rsid w:val="714B258C"/>
    <w:rsid w:val="7175255F"/>
    <w:rsid w:val="717D5E8A"/>
    <w:rsid w:val="7512239F"/>
    <w:rsid w:val="764C054B"/>
    <w:rsid w:val="773BC2E8"/>
    <w:rsid w:val="7A71EB92"/>
    <w:rsid w:val="7B3EC2EC"/>
    <w:rsid w:val="7CC68C63"/>
    <w:rsid w:val="7DDE6D1B"/>
    <w:rsid w:val="7F17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6B1C8C12-5275-421B-8E2A-C6C3E6C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44"/>
    <w:rPr>
      <w:rFonts w:ascii="Segoe UI" w:hAnsi="Segoe UI" w:cs="Segoe UI"/>
      <w:sz w:val="18"/>
      <w:szCs w:val="18"/>
    </w:rPr>
  </w:style>
  <w:style w:type="paragraph" w:styleId="Header">
    <w:name w:val="header"/>
    <w:basedOn w:val="Normal"/>
    <w:link w:val="HeaderChar"/>
    <w:uiPriority w:val="99"/>
    <w:unhideWhenUsed/>
    <w:rsid w:val="00777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02"/>
  </w:style>
  <w:style w:type="paragraph" w:styleId="Footer">
    <w:name w:val="footer"/>
    <w:basedOn w:val="Normal"/>
    <w:link w:val="FooterChar"/>
    <w:uiPriority w:val="99"/>
    <w:unhideWhenUsed/>
    <w:rsid w:val="00777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194464629">
      <w:bodyDiv w:val="1"/>
      <w:marLeft w:val="0"/>
      <w:marRight w:val="0"/>
      <w:marTop w:val="0"/>
      <w:marBottom w:val="0"/>
      <w:divBdr>
        <w:top w:val="none" w:sz="0" w:space="0" w:color="auto"/>
        <w:left w:val="none" w:sz="0" w:space="0" w:color="auto"/>
        <w:bottom w:val="none" w:sz="0" w:space="0" w:color="auto"/>
        <w:right w:val="none" w:sz="0" w:space="0" w:color="auto"/>
      </w:divBdr>
    </w:div>
    <w:div w:id="276261529">
      <w:bodyDiv w:val="1"/>
      <w:marLeft w:val="0"/>
      <w:marRight w:val="0"/>
      <w:marTop w:val="0"/>
      <w:marBottom w:val="0"/>
      <w:divBdr>
        <w:top w:val="none" w:sz="0" w:space="0" w:color="auto"/>
        <w:left w:val="none" w:sz="0" w:space="0" w:color="auto"/>
        <w:bottom w:val="none" w:sz="0" w:space="0" w:color="auto"/>
        <w:right w:val="none" w:sz="0" w:space="0" w:color="auto"/>
      </w:divBdr>
    </w:div>
    <w:div w:id="418914799">
      <w:bodyDiv w:val="1"/>
      <w:marLeft w:val="0"/>
      <w:marRight w:val="0"/>
      <w:marTop w:val="0"/>
      <w:marBottom w:val="0"/>
      <w:divBdr>
        <w:top w:val="none" w:sz="0" w:space="0" w:color="auto"/>
        <w:left w:val="none" w:sz="0" w:space="0" w:color="auto"/>
        <w:bottom w:val="none" w:sz="0" w:space="0" w:color="auto"/>
        <w:right w:val="none" w:sz="0" w:space="0" w:color="auto"/>
      </w:divBdr>
    </w:div>
    <w:div w:id="627009402">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703673099">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940797624">
      <w:bodyDiv w:val="1"/>
      <w:marLeft w:val="0"/>
      <w:marRight w:val="0"/>
      <w:marTop w:val="0"/>
      <w:marBottom w:val="0"/>
      <w:divBdr>
        <w:top w:val="none" w:sz="0" w:space="0" w:color="auto"/>
        <w:left w:val="none" w:sz="0" w:space="0" w:color="auto"/>
        <w:bottom w:val="none" w:sz="0" w:space="0" w:color="auto"/>
        <w:right w:val="none" w:sz="0" w:space="0" w:color="auto"/>
      </w:divBdr>
    </w:div>
    <w:div w:id="1267814119">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382167638">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545553998">
      <w:bodyDiv w:val="1"/>
      <w:marLeft w:val="0"/>
      <w:marRight w:val="0"/>
      <w:marTop w:val="0"/>
      <w:marBottom w:val="0"/>
      <w:divBdr>
        <w:top w:val="none" w:sz="0" w:space="0" w:color="auto"/>
        <w:left w:val="none" w:sz="0" w:space="0" w:color="auto"/>
        <w:bottom w:val="none" w:sz="0" w:space="0" w:color="auto"/>
        <w:right w:val="none" w:sz="0" w:space="0" w:color="auto"/>
      </w:divBdr>
    </w:div>
    <w:div w:id="1683161520">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 w:id="20058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cubed.org/resource/growth-mindset/" TargetMode="External"/><Relationship Id="rId18" Type="http://schemas.openxmlformats.org/officeDocument/2006/relationships/hyperlink" Target="https://www.nctm.org/Publications/Teaching-Children-Mathematics/2016/Vol22/Issue6/tcm2016-02-358a/" TargetMode="External"/><Relationship Id="rId26" Type="http://schemas.openxmlformats.org/officeDocument/2006/relationships/hyperlink" Target="https://learn.teachingchannel.com/video/class-warm-up-routine" TargetMode="External"/><Relationship Id="rId39" Type="http://schemas.openxmlformats.org/officeDocument/2006/relationships/hyperlink" Target="https://www.youcubed.org/resource/data-talks/" TargetMode="External"/><Relationship Id="rId21" Type="http://schemas.openxmlformats.org/officeDocument/2006/relationships/hyperlink" Target="http://www.fosteringmathpractices.com/routinesforreasoning/" TargetMode="External"/><Relationship Id="rId34" Type="http://schemas.openxmlformats.org/officeDocument/2006/relationships/hyperlink" Target="https://kystandards.org/standards-resources/mathematics-resources/breaking-down-a-mathematics-standard/" TargetMode="External"/><Relationship Id="rId42" Type="http://schemas.openxmlformats.org/officeDocument/2006/relationships/hyperlink" Target="http://stemteachingtools.org/brief/31" TargetMode="External"/><Relationship Id="rId47" Type="http://schemas.openxmlformats.org/officeDocument/2006/relationships/hyperlink" Target="https://www.casel.org/wp-content/uploads/2017/08/Sample-Teaching-Activities-to-Support-Core-Competencies-8-20-17.pdf" TargetMode="External"/><Relationship Id="rId50" Type="http://schemas.openxmlformats.org/officeDocument/2006/relationships/hyperlink" Target="https://ggie.berkeley.edu/academic-instruction/prosocial-math/" TargetMode="External"/><Relationship Id="rId55" Type="http://schemas.openxmlformats.org/officeDocument/2006/relationships/hyperlink" Target="https://www.aspeninstitute.org/wp-content/uploads/2019/03/UPDATED-FINAL-Aspen_Integrating-Report_4_Single.pdf?_ga=2.212540755.619137273.1554901622-1235241466.1533737385"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cd.org/publications/educational-leadership/sept95/vol53/num01/A-Framework-for-Culturally-Responsive-Teaching.aspx" TargetMode="External"/><Relationship Id="rId29" Type="http://schemas.openxmlformats.org/officeDocument/2006/relationships/hyperlink" Target="http://www.siam.org/Portals/0/Publications/Reports/gaimme-full_color_for_online_viewing.pdf?ver=2018-03-19-115454-057" TargetMode="External"/><Relationship Id="rId11" Type="http://schemas.openxmlformats.org/officeDocument/2006/relationships/hyperlink" Target="https://casel.org/sel-framework/" TargetMode="External"/><Relationship Id="rId24" Type="http://schemas.openxmlformats.org/officeDocument/2006/relationships/hyperlink" Target="https://www.michigan.gov/documents/mde/Writing_to_Learn_Mathematics_306722_7.pdf" TargetMode="External"/><Relationship Id="rId32" Type="http://schemas.openxmlformats.org/officeDocument/2006/relationships/hyperlink" Target="https://www.nctm.org/Conferences-and-Professional-Development/Tips-for-Teachers/Asking-Questions-and-Promoting-Discourse/" TargetMode="External"/><Relationship Id="rId37" Type="http://schemas.openxmlformats.org/officeDocument/2006/relationships/hyperlink" Target="https://education.ky.gov/curriculum/standards/kyacadstand/Documents/Kentucky_Academic_Standards_Mathematics.pdf" TargetMode="External"/><Relationship Id="rId40" Type="http://schemas.openxmlformats.org/officeDocument/2006/relationships/hyperlink" Target="https://slowrevealgraphs.com/" TargetMode="External"/><Relationship Id="rId45" Type="http://schemas.openxmlformats.org/officeDocument/2006/relationships/hyperlink" Target="https://www.air.org/resource/when-districts-support-and-integrate-social-and-emotional-learning-sel" TargetMode="External"/><Relationship Id="rId53" Type="http://schemas.openxmlformats.org/officeDocument/2006/relationships/hyperlink" Target="https://www.aspeninstitute.org/wp-content/uploads/2017/05/ThisTimeWithFeeling.pdf?_ga=2.148520830.875950129.1594644850-1543107257.1594644850"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customXml" Target="../customXml/item4.xml"/><Relationship Id="rId19" Type="http://schemas.openxmlformats.org/officeDocument/2006/relationships/hyperlink" Target="https://www.elsuccessforum.org/resources/a-how-to-guide-for-teachers" TargetMode="External"/><Relationship Id="rId14" Type="http://schemas.openxmlformats.org/officeDocument/2006/relationships/hyperlink" Target="https://tapintoteenminds.com/3act-math/" TargetMode="External"/><Relationship Id="rId22" Type="http://schemas.openxmlformats.org/officeDocument/2006/relationships/hyperlink" Target="https://education.ky.gov/curriculum/standards/kyacadstand/Documents/A_Family's_Guide_to_Student_Assessment.pdf" TargetMode="External"/><Relationship Id="rId27" Type="http://schemas.openxmlformats.org/officeDocument/2006/relationships/hyperlink" Target="https://education.ky.gov/curriculum/standards/kyacadstand/Documents/Kentucky_Academic_Standards_Mathematics.pdf" TargetMode="External"/><Relationship Id="rId30" Type="http://schemas.openxmlformats.org/officeDocument/2006/relationships/hyperlink" Target="https://education.ky.gov/curriculum/standards/kyacadstand/Documents/Kentucky_Academic_Standards_Mathematics.pdf" TargetMode="External"/><Relationship Id="rId35" Type="http://schemas.openxmlformats.org/officeDocument/2006/relationships/hyperlink" Target="http://stemteachingtools.org/brief/35" TargetMode="External"/><Relationship Id="rId43" Type="http://schemas.openxmlformats.org/officeDocument/2006/relationships/hyperlink" Target="https://www.edutopia.org/article/bringing-culturally-responsive-lens-math-class" TargetMode="External"/><Relationship Id="rId48" Type="http://schemas.openxmlformats.org/officeDocument/2006/relationships/hyperlink" Target="https://casel.org/wp-content/uploads/2020/11/SEL-Guidance-2020-Election.pdf" TargetMode="External"/><Relationship Id="rId56" Type="http://schemas.openxmlformats.org/officeDocument/2006/relationships/hyperlink" Target="https://edtrust.org/wp-content/uploads/2014/09/Social-Emotional-and-Academic-Development-Through-an-Equity-Lens-August-6-2020.pdf" TargetMode="External"/><Relationship Id="rId8" Type="http://schemas.openxmlformats.org/officeDocument/2006/relationships/footnotes" Target="footnotes.xml"/><Relationship Id="rId51" Type="http://schemas.openxmlformats.org/officeDocument/2006/relationships/hyperlink" Target="http://www.nctm.org/principlestoactions" TargetMode="Externa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hyperlink" Target="https://education.ky.gov/curriculum/standards/kyacadstand/Documents/STEM_Teaching_Tool_53_Cautions_for_Culturally_Responsive_Instruction.pdf" TargetMode="External"/><Relationship Id="rId25" Type="http://schemas.openxmlformats.org/officeDocument/2006/relationships/hyperlink" Target="https://greatergood.berkeley.edu/images/uploads/Bridging_Differences_Playbook-Final.pdf" TargetMode="External"/><Relationship Id="rId33" Type="http://schemas.openxmlformats.org/officeDocument/2006/relationships/hyperlink" Target="https://irp-cdn.multiscreensite.com/7a45b809/files/uploaded/talk_moves_map_oconnor_2017.pdf" TargetMode="External"/><Relationship Id="rId38" Type="http://schemas.openxmlformats.org/officeDocument/2006/relationships/hyperlink" Target="https://education.ky.gov/curriculum/standards/kyacadstand/Documents/Kentucky_Academic_Standards_Mathematics.pdf" TargetMode="External"/><Relationship Id="rId46" Type="http://schemas.openxmlformats.org/officeDocument/2006/relationships/hyperlink" Target="https://www.insidemathematics.org/sites/default/files/assets/common-core-resources/social-emotional-learning/a__integrating_sel_and_ccssm_making_the_case.pdf" TargetMode="External"/><Relationship Id="rId59" Type="http://schemas.openxmlformats.org/officeDocument/2006/relationships/fontTable" Target="fontTable.xml"/><Relationship Id="rId20" Type="http://schemas.openxmlformats.org/officeDocument/2006/relationships/hyperlink" Target="https://education.ky.gov/curriculum/standards/kyacadstand/Documents/Kentucky_Academic_Standards_Mathematics.pdf" TargetMode="External"/><Relationship Id="rId41"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54" Type="http://schemas.openxmlformats.org/officeDocument/2006/relationships/hyperlink" Target="https://www.aspeninstitute.org/publications/learning-happens-supporting-students-social-emotional-academic-developme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scd.org/publications/educational-leadership/sept18/vol76/num01/Boosting-Your-Teacher-Credibility.aspx" TargetMode="External"/><Relationship Id="rId23" Type="http://schemas.openxmlformats.org/officeDocument/2006/relationships/hyperlink" Target="https://ged.com/wp-content/uploads/MathPrompts.pdf" TargetMode="External"/><Relationship Id="rId28" Type="http://schemas.openxmlformats.org/officeDocument/2006/relationships/hyperlink" Target="https://education.ky.gov/curriculum/standards/kyacadstand/Documents/Kentucky_Academic_Standards_Mathematics.pdf" TargetMode="External"/><Relationship Id="rId36" Type="http://schemas.openxmlformats.org/officeDocument/2006/relationships/hyperlink" Target="https://www.nctm.org/Research-and-Advocacy/Research-Brief-and-Clips/Strategies-for-Discussion/" TargetMode="External"/><Relationship Id="rId49" Type="http://schemas.openxmlformats.org/officeDocument/2006/relationships/hyperlink" Target="https://www.iejme.com/download/critical-mathematics-education-recognizing-the-ethical-dimension-of-problem-solving.pdf" TargetMode="External"/><Relationship Id="rId57" Type="http://schemas.openxmlformats.org/officeDocument/2006/relationships/hyperlink" Target="https://equitablemath.org" TargetMode="Externa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education.ky.gov/curriculum/standards/kyacadstand/Documents/Kentucky_Academic_Standards_Mathematics.pdf" TargetMode="External"/><Relationship Id="rId44" Type="http://schemas.openxmlformats.org/officeDocument/2006/relationships/hyperlink" Target="https://education.ky.gov/curriculum/standards/kyacadstand/Documents/SMP_Look_Fors_and_Question_Stems.pdf" TargetMode="External"/><Relationship Id="rId52" Type="http://schemas.openxmlformats.org/officeDocument/2006/relationships/hyperlink" Target="https://achievethecore.org/page/3267/2020-21-priority-instructional-content-in-english-language-arts-literacy-and-mathematics"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KYED-536-1223</_dlc_DocId>
    <_dlc_DocIdUrl xmlns="3a62de7d-ba57-4f43-9dae-9623ba637be0">
      <Url>https://www.education.ky.gov/curriculum/standards/kyacadstand/_layouts/15/DocIdRedir.aspx?ID=KYED-536-1223</Url>
      <Description>KYED-536-1223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3099BE-C899-4E32-964C-A35AFACCD932}">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12423c08-2846-40b6-adb1-6ff477af9c4c"/>
    <ds:schemaRef ds:uri="http://www.w3.org/XML/1998/namespace"/>
    <ds:schemaRef ds:uri="621773ed-55dc-4476-af5e-5bf4e5742684"/>
    <ds:schemaRef ds:uri="http://purl.org/dc/dcmitype/"/>
  </ds:schemaRefs>
</ds:datastoreItem>
</file>

<file path=customXml/itemProps2.xml><?xml version="1.0" encoding="utf-8"?>
<ds:datastoreItem xmlns:ds="http://schemas.openxmlformats.org/officeDocument/2006/customXml" ds:itemID="{19B1BC33-1DED-4342-8B74-D4CC47E77D81}"/>
</file>

<file path=customXml/itemProps3.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4.xml><?xml version="1.0" encoding="utf-8"?>
<ds:datastoreItem xmlns:ds="http://schemas.openxmlformats.org/officeDocument/2006/customXml" ds:itemID="{B5861559-BDEE-4E79-BC14-58AA1989664B}"/>
</file>

<file path=docProps/app.xml><?xml version="1.0" encoding="utf-8"?>
<Properties xmlns="http://schemas.openxmlformats.org/officeDocument/2006/extended-properties" xmlns:vt="http://schemas.openxmlformats.org/officeDocument/2006/docPropsVTypes">
  <Template>Normal</Template>
  <TotalTime>2</TotalTime>
  <Pages>16</Pages>
  <Words>8459</Words>
  <Characters>48219</Characters>
  <Application>Microsoft Office Word</Application>
  <DocSecurity>0</DocSecurity>
  <Lines>401</Lines>
  <Paragraphs>113</Paragraphs>
  <ScaleCrop>false</ScaleCrop>
  <Company>Kentucky Department of Education</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3</cp:revision>
  <dcterms:created xsi:type="dcterms:W3CDTF">2021-09-14T16:53:00Z</dcterms:created>
  <dcterms:modified xsi:type="dcterms:W3CDTF">2021-09-14T16:56:00Z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ece0ede0-0b48-4d92-9762-394fe5aaa0bf</vt:lpwstr>
  </property>
</Properties>
</file>