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3CF206D9" w:rsidR="00F45305" w:rsidRDefault="00DD77BE" w:rsidP="009571A5">
      <w:pPr>
        <w:pStyle w:val="Heading1"/>
        <w:spacing w:after="0" w:afterAutospacing="0"/>
      </w:pPr>
      <w:r>
        <w:t>Integrating Social, Emotional and Academic Development (</w:t>
      </w:r>
      <w:r w:rsidR="79FE2E74">
        <w:t>SEAD) within</w:t>
      </w:r>
      <w:r>
        <w:t xml:space="preserve"> the </w:t>
      </w:r>
      <w:r w:rsidRPr="6C53C60B">
        <w:rPr>
          <w:i/>
          <w:iCs/>
        </w:rPr>
        <w:t>Kentucky Academic Standards (KAS) for Mathematics</w:t>
      </w:r>
      <w:r>
        <w:t> </w:t>
      </w:r>
    </w:p>
    <w:p w14:paraId="12AE20A9" w14:textId="69BE43D1" w:rsidR="6C53C60B" w:rsidRDefault="6C53C60B" w:rsidP="6C53C60B">
      <w:pPr>
        <w:spacing w:after="0" w:line="240" w:lineRule="auto"/>
        <w:rPr>
          <w:rFonts w:ascii="Times New Roman" w:eastAsia="Times New Roman" w:hAnsi="Times New Roman" w:cs="Times New Roman"/>
          <w:sz w:val="24"/>
          <w:szCs w:val="24"/>
        </w:rPr>
      </w:pPr>
    </w:p>
    <w:p w14:paraId="543E2290" w14:textId="2F0E6F20" w:rsidR="00AA0436" w:rsidRPr="00DD77BE" w:rsidRDefault="73EFED77" w:rsidP="009571A5">
      <w:pPr>
        <w:spacing w:before="120" w:after="120" w:line="240" w:lineRule="auto"/>
        <w:rPr>
          <w:rFonts w:ascii="Times New Roman" w:eastAsia="Times New Roman" w:hAnsi="Times New Roman" w:cs="Times New Roman"/>
          <w:b/>
          <w:bCs/>
          <w:sz w:val="40"/>
          <w:szCs w:val="40"/>
        </w:rPr>
      </w:pPr>
      <w:r w:rsidRPr="6C53C60B">
        <w:rPr>
          <w:rFonts w:ascii="Times New Roman" w:eastAsia="Times New Roman" w:hAnsi="Times New Roman" w:cs="Times New Roman"/>
          <w:b/>
          <w:bCs/>
          <w:sz w:val="40"/>
          <w:szCs w:val="40"/>
        </w:rPr>
        <w:t>Kindergarten</w:t>
      </w:r>
    </w:p>
    <w:p w14:paraId="56BDF37D" w14:textId="52D319A5" w:rsidR="6C53C60B" w:rsidRDefault="6C53C60B" w:rsidP="6C53C60B">
      <w:pPr>
        <w:spacing w:after="0" w:line="240" w:lineRule="auto"/>
        <w:rPr>
          <w:rFonts w:ascii="Times New Roman" w:eastAsia="Times New Roman" w:hAnsi="Times New Roman" w:cs="Times New Roman"/>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9571A5">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9571A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9571A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9571A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9571A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analyze situations by breaking them into cases and can recognize and use counterexamples. They </w:t>
            </w:r>
            <w:r w:rsidRPr="00344186">
              <w:rPr>
                <w:rFonts w:ascii="Calibri" w:eastAsia="Times New Roman" w:hAnsi="Calibri" w:cs="Calibri"/>
                <w:b/>
                <w:bCs/>
                <w:color w:val="000000"/>
                <w:sz w:val="20"/>
                <w:szCs w:val="20"/>
              </w:rPr>
              <w:t xml:space="preserve">justify their conclusions, communicate them to others and respond to the arguments of others. They reason inductively about data, making plausible arguments that </w:t>
            </w:r>
            <w:proofErr w:type="gramStart"/>
            <w:r w:rsidRPr="00344186">
              <w:rPr>
                <w:rFonts w:ascii="Calibri" w:eastAsia="Times New Roman" w:hAnsi="Calibri" w:cs="Calibri"/>
                <w:b/>
                <w:bCs/>
                <w:color w:val="000000"/>
                <w:sz w:val="20"/>
                <w:szCs w:val="20"/>
              </w:rPr>
              <w:t>take into account</w:t>
            </w:r>
            <w:proofErr w:type="gramEnd"/>
            <w:r w:rsidRPr="00344186">
              <w:rPr>
                <w:rFonts w:ascii="Calibri" w:eastAsia="Times New Roman" w:hAnsi="Calibri" w:cs="Calibri"/>
                <w:b/>
                <w:bCs/>
                <w:color w:val="000000"/>
                <w:sz w:val="20"/>
                <w:szCs w:val="20"/>
              </w:rPr>
              <w:t xml:space="preserve"> the context from which the data arose</w:t>
            </w:r>
            <w:r w:rsidRPr="00344186">
              <w:rPr>
                <w:rFonts w:ascii="Calibri" w:eastAsia="Times New Roman" w:hAnsi="Calibri" w:cs="Calibri"/>
                <w:color w:val="000000"/>
                <w:sz w:val="20"/>
                <w:szCs w:val="20"/>
              </w:rPr>
              <w:t xml:space="preserve">. Mathematically proficient students also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9571A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9571A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9571A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9571A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identify relevant external mathematical resources, such as digital content located on a website and use them to pose or solve problems.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9571A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9571A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9571A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9571A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w:t>
            </w:r>
            <w:proofErr w:type="gramStart"/>
            <w:r w:rsidRPr="00344186">
              <w:rPr>
                <w:rFonts w:ascii="Calibri" w:eastAsia="Times New Roman" w:hAnsi="Calibri" w:cs="Calibri"/>
                <w:b/>
                <w:bCs/>
                <w:color w:val="000000"/>
                <w:sz w:val="20"/>
                <w:szCs w:val="20"/>
              </w:rPr>
              <w:t>are able to</w:t>
            </w:r>
            <w:proofErr w:type="gramEnd"/>
            <w:r w:rsidRPr="00344186">
              <w:rPr>
                <w:rFonts w:ascii="Calibri" w:eastAsia="Times New Roman" w:hAnsi="Calibri" w:cs="Calibri"/>
                <w:b/>
                <w:bCs/>
                <w:color w:val="000000"/>
                <w:sz w:val="20"/>
                <w:szCs w:val="20"/>
              </w:rPr>
              <w:t xml:space="preserve"> shift perspectives. </w:t>
            </w:r>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w:t>
            </w:r>
            <w:proofErr w:type="gramStart"/>
            <w:r w:rsidRPr="00344186">
              <w:rPr>
                <w:rFonts w:ascii="Calibri" w:eastAsia="Times New Roman" w:hAnsi="Calibri" w:cs="Calibri"/>
                <w:color w:val="000000"/>
                <w:sz w:val="20"/>
                <w:szCs w:val="20"/>
              </w:rPr>
              <w:t>positive number</w:t>
            </w:r>
            <w:proofErr w:type="gramEnd"/>
            <w:r w:rsidRPr="00344186">
              <w:rPr>
                <w:rFonts w:ascii="Calibri" w:eastAsia="Times New Roman" w:hAnsi="Calibri" w:cs="Calibri"/>
                <w:color w:val="000000"/>
                <w:sz w:val="20"/>
                <w:szCs w:val="20"/>
              </w:rPr>
              <w:t xml:space="preserve">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9571A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9571A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7" w:name="MP8"/>
            <w:r w:rsidRPr="00344186">
              <w:rPr>
                <w:rFonts w:ascii="Calibri" w:eastAsia="Times New Roman" w:hAnsi="Calibri" w:cs="Calibri"/>
                <w:b/>
                <w:bCs/>
                <w:color w:val="000000"/>
              </w:rPr>
              <w:t>MP.8. Look for and express regularity in repeated reasoning.</w:t>
            </w:r>
            <w:bookmarkEnd w:id="7"/>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77777777" w:rsidR="00AE1109" w:rsidRDefault="00AE1109" w:rsidP="00AD2A96">
      <w:pPr>
        <w:pStyle w:val="Heading2"/>
        <w:spacing w:before="0" w:after="240"/>
        <w:jc w:val="center"/>
      </w:pPr>
      <w:r>
        <w:rPr>
          <w:rFonts w:ascii="Calibri" w:hAnsi="Calibri" w:cs="Calibri"/>
          <w:color w:val="000000"/>
          <w:sz w:val="28"/>
          <w:szCs w:val="28"/>
          <w:u w:val="single"/>
        </w:rPr>
        <w:lastRenderedPageBreak/>
        <w:t>Kindergarten: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79362FD7">
        <w:trPr>
          <w:trHeight w:val="5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7F31"/>
            <w:tcMar>
              <w:top w:w="100" w:type="dxa"/>
              <w:left w:w="100" w:type="dxa"/>
              <w:bottom w:w="100" w:type="dxa"/>
              <w:right w:w="100" w:type="dxa"/>
            </w:tcMar>
            <w:hideMark/>
          </w:tcPr>
          <w:p w14:paraId="54967995" w14:textId="2D824F55" w:rsidR="00143716" w:rsidRDefault="00143716" w:rsidP="008E2E85">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447FDF21" w:rsidR="00143716" w:rsidRDefault="00143716" w:rsidP="79362FD7">
            <w:pPr>
              <w:pStyle w:val="NormalWeb"/>
              <w:spacing w:before="0" w:beforeAutospacing="0" w:after="0" w:afterAutospacing="0"/>
            </w:pPr>
            <w:r w:rsidRPr="79362FD7">
              <w:rPr>
                <w:rFonts w:ascii="Calibri" w:hAnsi="Calibri" w:cs="Calibri"/>
                <w:color w:val="000000" w:themeColor="text1"/>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009B3FEE">
        <w:trPr>
          <w:trHeight w:val="800"/>
        </w:trPr>
        <w:tc>
          <w:tcPr>
            <w:tcW w:w="14390" w:type="dxa"/>
          </w:tcPr>
          <w:p w14:paraId="65D9AE94" w14:textId="77777777" w:rsidR="004230F8" w:rsidRDefault="004230F8" w:rsidP="009B3FEE">
            <w:pPr>
              <w:pStyle w:val="NormalWeb"/>
              <w:spacing w:before="0" w:beforeAutospacing="0" w:after="12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self-awareness:</w:t>
            </w:r>
          </w:p>
          <w:p w14:paraId="6B0B61DE" w14:textId="28078498" w:rsidR="004230F8" w:rsidRDefault="004230F8" w:rsidP="635217A2">
            <w:pPr>
              <w:pStyle w:val="NormalWeb"/>
              <w:numPr>
                <w:ilvl w:val="0"/>
                <w:numId w:val="27"/>
              </w:numPr>
              <w:tabs>
                <w:tab w:val="clear" w:pos="720"/>
                <w:tab w:val="num" w:pos="432"/>
              </w:tabs>
              <w:spacing w:before="0" w:beforeAutospacing="0" w:after="200" w:afterAutospacing="0"/>
              <w:ind w:left="342" w:right="84" w:hanging="342"/>
              <w:textAlignment w:val="baseline"/>
              <w:rPr>
                <w:rFonts w:ascii="Calibri" w:hAnsi="Calibri" w:cs="Calibri"/>
                <w:color w:val="000000"/>
              </w:rPr>
            </w:pPr>
            <w:r>
              <w:rPr>
                <w:rFonts w:ascii="Calibri" w:hAnsi="Calibri" w:cs="Calibri"/>
                <w:b/>
                <w:bCs/>
                <w:color w:val="000000"/>
                <w:sz w:val="22"/>
                <w:szCs w:val="22"/>
                <w:shd w:val="clear" w:color="auto" w:fill="FFFFFF"/>
              </w:rPr>
              <w:t>Lead class activities that offer students the opportunity to share their perspectives and learn from the perspectives of others.</w:t>
            </w:r>
            <w:r>
              <w:rPr>
                <w:rFonts w:ascii="Calibri" w:hAnsi="Calibri" w:cs="Calibri"/>
                <w:color w:val="000000"/>
                <w:sz w:val="22"/>
                <w:szCs w:val="22"/>
                <w:shd w:val="clear" w:color="auto" w:fill="FFFFFF"/>
              </w:rPr>
              <w:t xml:space="preserve"> Attend to the ways in which students position one another as capable or not capable of doing </w:t>
            </w:r>
            <w:r w:rsidR="37D011D2">
              <w:rPr>
                <w:rFonts w:ascii="Calibri" w:hAnsi="Calibri" w:cs="Calibri"/>
                <w:color w:val="000000"/>
                <w:sz w:val="22"/>
                <w:szCs w:val="22"/>
                <w:shd w:val="clear" w:color="auto" w:fill="FFFFFF"/>
              </w:rPr>
              <w:t>mathematics and</w:t>
            </w:r>
            <w:r>
              <w:rPr>
                <w:rFonts w:ascii="Calibri" w:hAnsi="Calibri" w:cs="Calibri"/>
                <w:color w:val="000000"/>
                <w:sz w:val="22"/>
                <w:szCs w:val="22"/>
                <w:shd w:val="clear" w:color="auto" w:fill="FFFFFF"/>
              </w:rPr>
              <w:t xml:space="preserve"> provide opportunities to elevate the voices of marginalized students, such as strategically sharing student work, student thinking and solutions (MP.3). Use collaborative structures to ensure learning engagement and equity of voice. Communicate that students’ thinking is valued to build trust and rapport by asking questions that elicit students’ thinking. Position students as mathematically competent by encouraging various entry points and elevating </w:t>
            </w:r>
            <w:r w:rsidR="654DBEAB">
              <w:rPr>
                <w:rFonts w:ascii="Calibri" w:hAnsi="Calibri" w:cs="Calibri"/>
                <w:color w:val="000000"/>
                <w:sz w:val="22"/>
                <w:szCs w:val="22"/>
                <w:shd w:val="clear" w:color="auto" w:fill="FFFFFF"/>
              </w:rPr>
              <w:t>diverse ways</w:t>
            </w:r>
            <w:r>
              <w:rPr>
                <w:rFonts w:ascii="Calibri" w:hAnsi="Calibri" w:cs="Calibri"/>
                <w:color w:val="000000"/>
                <w:sz w:val="22"/>
                <w:szCs w:val="22"/>
                <w:shd w:val="clear" w:color="auto" w:fill="FFFFFF"/>
              </w:rPr>
              <w:t xml:space="preserve"> students see and use structure in problems. Attentively listen for strategies students are using to solve problems. For </w:t>
            </w:r>
            <w:r w:rsidR="53DBD2A2">
              <w:rPr>
                <w:rFonts w:ascii="Calibri" w:hAnsi="Calibri" w:cs="Calibri"/>
                <w:color w:val="000000"/>
                <w:sz w:val="22"/>
                <w:szCs w:val="22"/>
                <w:shd w:val="clear" w:color="auto" w:fill="FFFFFF"/>
              </w:rPr>
              <w:t>example,</w:t>
            </w:r>
            <w:r>
              <w:rPr>
                <w:rFonts w:ascii="Calibri" w:hAnsi="Calibri" w:cs="Calibri"/>
                <w:color w:val="000000"/>
                <w:sz w:val="22"/>
                <w:szCs w:val="22"/>
                <w:shd w:val="clear" w:color="auto" w:fill="FFFFFF"/>
              </w:rPr>
              <w:t xml:space="preserve"> in the </w:t>
            </w:r>
            <w:hyperlink r:id="rId12" w:anchor="page=20" w:history="1">
              <w:r>
                <w:rPr>
                  <w:rStyle w:val="Hyperlink"/>
                  <w:rFonts w:ascii="Calibri" w:hAnsi="Calibri" w:cs="Calibri"/>
                  <w:color w:val="1155CC"/>
                  <w:sz w:val="22"/>
                  <w:szCs w:val="22"/>
                </w:rPr>
                <w:t>Counting and Cardinality, Cluster: Compare Numbers</w:t>
              </w:r>
            </w:hyperlink>
            <w:r>
              <w:rPr>
                <w:rFonts w:ascii="Calibri" w:hAnsi="Calibri" w:cs="Calibri"/>
                <w:color w:val="000000"/>
                <w:sz w:val="22"/>
                <w:szCs w:val="22"/>
                <w:shd w:val="clear" w:color="auto" w:fill="FFFFFF"/>
              </w:rPr>
              <w:t>, students make mathematical comparisons; they might investigate a collection of red counters and a collection of blue counters; students count each group, finding which has the greater number; pair off blues and reds to see which group has extras, or make two rows and line them up to see which is longer (MP.2). Once a determination has been made, students articulate their ideas using precise mathematical language such as “greater than,” “less than” and “equal to” to their classmates (MP.6, MP.3).</w:t>
            </w:r>
          </w:p>
          <w:p w14:paraId="2EB67663" w14:textId="06C42B66" w:rsidR="004230F8" w:rsidRDefault="004230F8" w:rsidP="635217A2">
            <w:pPr>
              <w:pStyle w:val="NormalWeb"/>
              <w:numPr>
                <w:ilvl w:val="0"/>
                <w:numId w:val="27"/>
              </w:numPr>
              <w:tabs>
                <w:tab w:val="clear" w:pos="720"/>
                <w:tab w:val="num" w:pos="432"/>
              </w:tabs>
              <w:spacing w:before="0" w:beforeAutospacing="0" w:after="200" w:afterAutospacing="0"/>
              <w:ind w:left="342" w:right="84" w:hanging="342"/>
              <w:textAlignment w:val="baseline"/>
              <w:rPr>
                <w:rFonts w:ascii="Calibri" w:hAnsi="Calibri" w:cs="Calibri"/>
                <w:b/>
                <w:bCs/>
                <w:color w:val="000000"/>
                <w:sz w:val="22"/>
                <w:szCs w:val="22"/>
              </w:rPr>
            </w:pPr>
            <w:r w:rsidRPr="635217A2">
              <w:rPr>
                <w:rFonts w:ascii="Calibri" w:hAnsi="Calibri" w:cs="Calibri"/>
                <w:b/>
                <w:bCs/>
                <w:color w:val="000000" w:themeColor="text1"/>
                <w:sz w:val="22"/>
                <w:szCs w:val="22"/>
              </w:rPr>
              <w:t xml:space="preserve">Provide age-appropriate authentic </w:t>
            </w:r>
            <w:r w:rsidR="69F2C933" w:rsidRPr="635217A2">
              <w:rPr>
                <w:rFonts w:ascii="Calibri" w:hAnsi="Calibri" w:cs="Calibri"/>
                <w:b/>
                <w:bCs/>
                <w:color w:val="000000" w:themeColor="text1"/>
                <w:sz w:val="22"/>
                <w:szCs w:val="22"/>
              </w:rPr>
              <w:t>feedback and</w:t>
            </w:r>
            <w:r w:rsidRPr="635217A2">
              <w:rPr>
                <w:rFonts w:ascii="Calibri" w:hAnsi="Calibri" w:cs="Calibri"/>
                <w:b/>
                <w:bCs/>
                <w:color w:val="000000" w:themeColor="text1"/>
                <w:sz w:val="22"/>
                <w:szCs w:val="22"/>
              </w:rPr>
              <w:t xml:space="preserve"> ask open-ended questions that invite students to engage in deeper reflection about their own strengths. </w:t>
            </w:r>
            <w:r w:rsidRPr="635217A2">
              <w:rPr>
                <w:rFonts w:ascii="Calibri" w:hAnsi="Calibri" w:cs="Calibri"/>
                <w:color w:val="000000" w:themeColor="text1"/>
                <w:sz w:val="22"/>
                <w:szCs w:val="22"/>
              </w:rPr>
              <w:t xml:space="preserve">Provide open-ended questions to allow students to define their own mathematical thinking </w:t>
            </w:r>
            <w:r w:rsidR="155D8BAD" w:rsidRPr="635217A2">
              <w:rPr>
                <w:rFonts w:ascii="Calibri" w:hAnsi="Calibri" w:cs="Calibri"/>
                <w:color w:val="000000" w:themeColor="text1"/>
                <w:sz w:val="22"/>
                <w:szCs w:val="22"/>
              </w:rPr>
              <w:t>and not</w:t>
            </w:r>
            <w:r w:rsidRPr="635217A2">
              <w:rPr>
                <w:rFonts w:ascii="Calibri" w:hAnsi="Calibri" w:cs="Calibri"/>
                <w:color w:val="000000" w:themeColor="text1"/>
                <w:sz w:val="22"/>
                <w:szCs w:val="22"/>
              </w:rPr>
              <w:t xml:space="preserve"> be led in an only pathway to find the solution. For example, students encounter a collection of objects in various configurations (see clarification for </w:t>
            </w:r>
            <w:hyperlink r:id="rId13" w:anchor="page=18">
              <w:r w:rsidRPr="635217A2">
                <w:rPr>
                  <w:rStyle w:val="Hyperlink"/>
                  <w:rFonts w:ascii="Calibri" w:hAnsi="Calibri" w:cs="Calibri"/>
                  <w:color w:val="1155CC"/>
                  <w:sz w:val="22"/>
                  <w:szCs w:val="22"/>
                </w:rPr>
                <w:t>KY.K.CC.5</w:t>
              </w:r>
            </w:hyperlink>
            <w:r w:rsidRPr="635217A2">
              <w:rPr>
                <w:rFonts w:ascii="Calibri" w:hAnsi="Calibri" w:cs="Calibri"/>
                <w:color w:val="000000" w:themeColor="text1"/>
                <w:sz w:val="22"/>
                <w:szCs w:val="22"/>
              </w:rPr>
              <w:t xml:space="preserve">); students organize the objects </w:t>
            </w:r>
            <w:r w:rsidR="6E35AEBC" w:rsidRPr="635217A2">
              <w:rPr>
                <w:rFonts w:ascii="Calibri" w:hAnsi="Calibri" w:cs="Calibri"/>
                <w:color w:val="000000" w:themeColor="text1"/>
                <w:sz w:val="22"/>
                <w:szCs w:val="22"/>
              </w:rPr>
              <w:t>to</w:t>
            </w:r>
            <w:r w:rsidRPr="635217A2">
              <w:rPr>
                <w:rFonts w:ascii="Calibri" w:hAnsi="Calibri" w:cs="Calibri"/>
                <w:color w:val="000000" w:themeColor="text1"/>
                <w:sz w:val="22"/>
                <w:szCs w:val="22"/>
              </w:rPr>
              <w:t xml:space="preserve"> count each one only once and explain their strategy for counting and for ensuring they have counted each object once (MP.2, MP.3</w:t>
            </w:r>
            <w:r w:rsidR="249941CD" w:rsidRPr="635217A2">
              <w:rPr>
                <w:rFonts w:ascii="Calibri" w:hAnsi="Calibri" w:cs="Calibri"/>
                <w:color w:val="000000" w:themeColor="text1"/>
                <w:sz w:val="22"/>
                <w:szCs w:val="22"/>
              </w:rPr>
              <w:t>). Utilize</w:t>
            </w:r>
            <w:r w:rsidRPr="635217A2">
              <w:rPr>
                <w:rFonts w:ascii="Calibri" w:hAnsi="Calibri" w:cs="Calibri"/>
                <w:color w:val="000000" w:themeColor="text1"/>
                <w:sz w:val="22"/>
                <w:szCs w:val="22"/>
              </w:rPr>
              <w:t xml:space="preserve"> the types of questions below with a learning experience such as this one.</w:t>
            </w:r>
          </w:p>
          <w:p w14:paraId="7F673AFF" w14:textId="1F602385" w:rsidR="00FD0265" w:rsidRDefault="004230F8" w:rsidP="635217A2">
            <w:pPr>
              <w:pStyle w:val="NormalWeb"/>
              <w:numPr>
                <w:ilvl w:val="0"/>
                <w:numId w:val="27"/>
              </w:numPr>
              <w:tabs>
                <w:tab w:val="clear" w:pos="720"/>
                <w:tab w:val="num" w:pos="432"/>
              </w:tabs>
              <w:spacing w:before="0" w:beforeAutospacing="0" w:after="0" w:afterAutospacing="0"/>
              <w:ind w:left="342" w:hanging="342"/>
              <w:textAlignment w:val="baseline"/>
            </w:pPr>
            <w:r w:rsidRPr="635217A2">
              <w:rPr>
                <w:rFonts w:ascii="Calibri" w:hAnsi="Calibri" w:cs="Calibri"/>
                <w:b/>
                <w:bCs/>
                <w:color w:val="000000" w:themeColor="text1"/>
                <w:sz w:val="22"/>
                <w:szCs w:val="22"/>
              </w:rPr>
              <w:t xml:space="preserve">Promote a </w:t>
            </w:r>
            <w:hyperlink r:id="rId14">
              <w:r w:rsidRPr="635217A2">
                <w:rPr>
                  <w:rStyle w:val="Hyperlink"/>
                  <w:rFonts w:ascii="Calibri" w:hAnsi="Calibri" w:cs="Calibri"/>
                  <w:b/>
                  <w:bCs/>
                  <w:color w:val="1155CC"/>
                  <w:sz w:val="22"/>
                  <w:szCs w:val="22"/>
                </w:rPr>
                <w:t>growth mindset</w:t>
              </w:r>
            </w:hyperlink>
            <w:r w:rsidRPr="635217A2">
              <w:rPr>
                <w:rFonts w:ascii="Calibri" w:hAnsi="Calibri" w:cs="Calibri"/>
                <w:b/>
                <w:bCs/>
                <w:color w:val="000000" w:themeColor="text1"/>
                <w:sz w:val="22"/>
                <w:szCs w:val="22"/>
              </w:rPr>
              <w:t xml:space="preserve"> by presenting culturally relevant tasks. </w:t>
            </w:r>
            <w:r w:rsidRPr="635217A2">
              <w:rPr>
                <w:rFonts w:ascii="Calibri" w:hAnsi="Calibri" w:cs="Calibri"/>
                <w:color w:val="000000" w:themeColor="text1"/>
                <w:sz w:val="22"/>
                <w:szCs w:val="22"/>
              </w:rPr>
              <w:t>Bring in students’ existing funds of knowledge (culture, contexts, language and</w:t>
            </w:r>
            <w:r w:rsidR="008E2E85" w:rsidRPr="635217A2">
              <w:rPr>
                <w:rFonts w:ascii="Calibri" w:hAnsi="Calibri" w:cs="Calibri"/>
                <w:color w:val="000000" w:themeColor="text1"/>
                <w:sz w:val="22"/>
                <w:szCs w:val="22"/>
              </w:rPr>
              <w:t xml:space="preserve"> </w:t>
            </w:r>
            <w:r w:rsidRPr="635217A2">
              <w:rPr>
                <w:rFonts w:ascii="Calibri" w:hAnsi="Calibri" w:cs="Calibri"/>
                <w:color w:val="000000" w:themeColor="text1"/>
                <w:sz w:val="22"/>
                <w:szCs w:val="22"/>
              </w:rPr>
              <w:t xml:space="preserve">experiences); students are more apt to engage with mathematics when they can make a connection to the </w:t>
            </w:r>
            <w:r w:rsidR="3C35477F" w:rsidRPr="635217A2">
              <w:rPr>
                <w:rFonts w:ascii="Calibri" w:hAnsi="Calibri" w:cs="Calibri"/>
                <w:color w:val="000000" w:themeColor="text1"/>
                <w:sz w:val="22"/>
                <w:szCs w:val="22"/>
              </w:rPr>
              <w:t>world,</w:t>
            </w:r>
            <w:r w:rsidRPr="635217A2">
              <w:rPr>
                <w:rFonts w:ascii="Calibri" w:hAnsi="Calibri" w:cs="Calibri"/>
                <w:color w:val="000000" w:themeColor="text1"/>
                <w:sz w:val="22"/>
                <w:szCs w:val="22"/>
              </w:rPr>
              <w:t xml:space="preserve"> they live in. Consider ways to get to know students, such as asking them to list their favorite musicians, songs, sports, activities, games, food, etc., or by asking deeper questions about their </w:t>
            </w:r>
            <w:r w:rsidRPr="635217A2">
              <w:rPr>
                <w:rFonts w:ascii="Calibri" w:hAnsi="Calibri" w:cs="Calibri"/>
                <w:color w:val="000000" w:themeColor="text1"/>
                <w:sz w:val="22"/>
                <w:szCs w:val="22"/>
              </w:rPr>
              <w:lastRenderedPageBreak/>
              <w:t>culture, memories and family.</w:t>
            </w:r>
            <w:r w:rsidRPr="635217A2">
              <w:rPr>
                <w:rFonts w:ascii="Calibri" w:hAnsi="Calibri" w:cs="Calibri"/>
                <w:color w:val="000000" w:themeColor="text1"/>
                <w:sz w:val="23"/>
                <w:szCs w:val="23"/>
              </w:rPr>
              <w:t xml:space="preserve"> </w:t>
            </w:r>
            <w:r w:rsidRPr="635217A2">
              <w:rPr>
                <w:rFonts w:ascii="Calibri" w:hAnsi="Calibri" w:cs="Calibri"/>
                <w:color w:val="000000" w:themeColor="text1"/>
                <w:sz w:val="22"/>
                <w:szCs w:val="22"/>
              </w:rPr>
              <w:t xml:space="preserve">Using resources like  </w:t>
            </w:r>
            <w:hyperlink r:id="rId15">
              <w:r w:rsidRPr="635217A2">
                <w:rPr>
                  <w:rStyle w:val="Hyperlink"/>
                  <w:rFonts w:ascii="Calibri" w:hAnsi="Calibri" w:cs="Calibri"/>
                  <w:color w:val="1155CC"/>
                  <w:sz w:val="22"/>
                  <w:szCs w:val="22"/>
                </w:rPr>
                <w:t>3 Act Tasks</w:t>
              </w:r>
            </w:hyperlink>
            <w:r w:rsidRPr="635217A2">
              <w:rPr>
                <w:rFonts w:ascii="Calibri" w:hAnsi="Calibri" w:cs="Calibri"/>
                <w:color w:val="000000" w:themeColor="text1"/>
                <w:sz w:val="22"/>
                <w:szCs w:val="22"/>
              </w:rPr>
              <w:t xml:space="preserve"> provides students the opportunities to reason and take the first initial step to solve the problem in a real-world context.</w:t>
            </w:r>
          </w:p>
        </w:tc>
      </w:tr>
    </w:tbl>
    <w:p w14:paraId="0224C737" w14:textId="5A77F750" w:rsidR="005D6FD1" w:rsidRPr="009B3FEE" w:rsidRDefault="005D6FD1" w:rsidP="00015072">
      <w:pPr>
        <w:spacing w:after="0"/>
      </w:pPr>
    </w:p>
    <w:tbl>
      <w:tblPr>
        <w:tblStyle w:val="TableGrid"/>
        <w:tblW w:w="0" w:type="auto"/>
        <w:shd w:val="clear" w:color="auto" w:fill="E7E6E6" w:themeFill="background2"/>
        <w:tblLook w:val="04A0" w:firstRow="1" w:lastRow="0" w:firstColumn="1" w:lastColumn="0" w:noHBand="0" w:noVBand="1"/>
      </w:tblPr>
      <w:tblGrid>
        <w:gridCol w:w="14390"/>
      </w:tblGrid>
      <w:tr w:rsidR="009B3FEE" w14:paraId="5605F4B7" w14:textId="77777777" w:rsidTr="009B3FEE">
        <w:tc>
          <w:tcPr>
            <w:tcW w:w="14390" w:type="dxa"/>
            <w:shd w:val="clear" w:color="auto" w:fill="E7E6E6" w:themeFill="background2"/>
          </w:tcPr>
          <w:p w14:paraId="092EC59C" w14:textId="77777777" w:rsidR="009B3FEE" w:rsidRDefault="009B3FEE" w:rsidP="009B3FEE">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self-awareness:</w:t>
            </w:r>
          </w:p>
          <w:p w14:paraId="625FA359"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16"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0A0A7795"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4E9A5855"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123BA07B"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bookmarkStart w:id="8" w:name="_GoBack"/>
            <w:bookmarkEnd w:id="8"/>
          </w:p>
          <w:p w14:paraId="14883BDE"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17" w:history="1">
              <w:r>
                <w:rPr>
                  <w:rStyle w:val="Hyperlink"/>
                  <w:rFonts w:ascii="Calibri" w:hAnsi="Calibri" w:cs="Calibri"/>
                  <w:color w:val="1155CC"/>
                  <w:sz w:val="22"/>
                  <w:szCs w:val="22"/>
                </w:rPr>
                <w:t>culturally responsive instruction</w:t>
              </w:r>
            </w:hyperlink>
            <w:r>
              <w:rPr>
                <w:rFonts w:ascii="Calibri" w:hAnsi="Calibri" w:cs="Calibri"/>
                <w:color w:val="000000"/>
                <w:sz w:val="22"/>
                <w:szCs w:val="22"/>
              </w:rPr>
              <w:t xml:space="preserve">? What </w:t>
            </w:r>
            <w:hyperlink r:id="rId18" w:history="1">
              <w:r w:rsidRPr="00C12265">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 instruction deeper into my classroom and instruction? Is there anything I might want to shift about my current approach?</w:t>
            </w:r>
          </w:p>
          <w:p w14:paraId="496D7B6E"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08250541"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0F473D5F"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19" w:history="1">
              <w:r w:rsidRPr="007C58CA">
                <w:rPr>
                  <w:rStyle w:val="Hyperlink"/>
                  <w:rFonts w:ascii="Calibri" w:hAnsi="Calibri" w:cs="Calibri"/>
                  <w:sz w:val="22"/>
                  <w:szCs w:val="22"/>
                </w:rPr>
                <w:t>windows and mirrors</w:t>
              </w:r>
            </w:hyperlink>
            <w:r>
              <w:rPr>
                <w:rFonts w:ascii="Calibri" w:hAnsi="Calibri" w:cs="Calibri"/>
                <w:color w:val="000000"/>
                <w:sz w:val="22"/>
                <w:szCs w:val="22"/>
              </w:rPr>
              <w:t xml:space="preserve"> into student </w:t>
            </w:r>
            <w:proofErr w:type="spellStart"/>
            <w:r>
              <w:rPr>
                <w:rFonts w:ascii="Calibri" w:hAnsi="Calibri" w:cs="Calibri"/>
                <w:color w:val="000000"/>
                <w:sz w:val="22"/>
                <w:szCs w:val="22"/>
              </w:rPr>
              <w:t>noticings</w:t>
            </w:r>
            <w:proofErr w:type="spellEnd"/>
            <w:r>
              <w:rPr>
                <w:rFonts w:ascii="Calibri" w:hAnsi="Calibri" w:cs="Calibri"/>
                <w:color w:val="000000"/>
                <w:sz w:val="22"/>
                <w:szCs w:val="22"/>
              </w:rPr>
              <w:t>? </w:t>
            </w:r>
          </w:p>
          <w:p w14:paraId="3B0A262D"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0F675CD3" w14:textId="77777777" w:rsidR="009B3FEE" w:rsidRDefault="009B3FEE" w:rsidP="009B3FEE">
            <w:pPr>
              <w:pStyle w:val="NormalWeb"/>
              <w:numPr>
                <w:ilvl w:val="0"/>
                <w:numId w:val="28"/>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20"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0E00F6BA" w14:textId="0B60C147" w:rsidR="009B3FEE" w:rsidRDefault="009B3FEE" w:rsidP="009B3FEE">
            <w:r>
              <w:rPr>
                <w:rFonts w:ascii="Calibri" w:hAnsi="Calibri" w:cs="Calibri"/>
                <w:color w:val="000000"/>
              </w:rPr>
              <w:t>How can I elevate mathematical role models from diverse cultures?</w:t>
            </w:r>
          </w:p>
        </w:tc>
      </w:tr>
    </w:tbl>
    <w:p w14:paraId="2DC97A64" w14:textId="77777777" w:rsidR="009B3FEE" w:rsidRPr="009B3FEE" w:rsidRDefault="009B3FEE" w:rsidP="00015072">
      <w:pPr>
        <w:spacing w:after="0"/>
        <w:rPr>
          <w:sz w:val="2"/>
          <w:szCs w:val="2"/>
        </w:rPr>
      </w:pPr>
    </w:p>
    <w:p w14:paraId="6D3EDA43" w14:textId="77777777" w:rsidR="009B3FEE" w:rsidRDefault="009B3FEE" w:rsidP="00015072">
      <w:pPr>
        <w:spacing w:after="0"/>
      </w:pPr>
    </w:p>
    <w:tbl>
      <w:tblPr>
        <w:tblStyle w:val="TableGrid"/>
        <w:tblW w:w="0" w:type="auto"/>
        <w:tblLook w:val="04A0" w:firstRow="1" w:lastRow="0" w:firstColumn="1" w:lastColumn="0" w:noHBand="0" w:noVBand="1"/>
      </w:tblPr>
      <w:tblGrid>
        <w:gridCol w:w="14390"/>
      </w:tblGrid>
      <w:tr w:rsidR="00015072" w14:paraId="399251C5" w14:textId="77777777" w:rsidTr="00015072">
        <w:tc>
          <w:tcPr>
            <w:tcW w:w="14390" w:type="dxa"/>
            <w:shd w:val="clear" w:color="auto" w:fill="D9E2F3" w:themeFill="accent1" w:themeFillTint="33"/>
          </w:tcPr>
          <w:p w14:paraId="2EB69C35" w14:textId="77777777" w:rsidR="00015072" w:rsidRDefault="00015072" w:rsidP="00015072">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self-awareness </w:t>
            </w:r>
            <w:r>
              <w:rPr>
                <w:rFonts w:ascii="Calibri" w:hAnsi="Calibri" w:cs="Calibri"/>
                <w:color w:val="000000"/>
              </w:rPr>
              <w:t>in students:</w:t>
            </w:r>
          </w:p>
          <w:p w14:paraId="2E93699B" w14:textId="77777777" w:rsidR="00015072" w:rsidRDefault="00015072" w:rsidP="00015072">
            <w:pPr>
              <w:pStyle w:val="NormalWeb"/>
              <w:numPr>
                <w:ilvl w:val="0"/>
                <w:numId w:val="29"/>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Can you explain what you’ve done so far? </w:t>
            </w:r>
          </w:p>
          <w:p w14:paraId="68473CAB" w14:textId="77777777" w:rsidR="00015072" w:rsidRDefault="00015072" w:rsidP="00015072">
            <w:pPr>
              <w:pStyle w:val="NormalWeb"/>
              <w:numPr>
                <w:ilvl w:val="0"/>
                <w:numId w:val="29"/>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How is your answer different from ___’s?</w:t>
            </w:r>
          </w:p>
          <w:p w14:paraId="0FEF5267" w14:textId="77777777" w:rsidR="00015072" w:rsidRDefault="00015072" w:rsidP="00015072">
            <w:pPr>
              <w:pStyle w:val="NormalWeb"/>
              <w:numPr>
                <w:ilvl w:val="0"/>
                <w:numId w:val="29"/>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Did you use or learn any new mathematical words today? What do they mean? </w:t>
            </w:r>
          </w:p>
          <w:p w14:paraId="1455C5CF" w14:textId="7FE43CCC" w:rsidR="00015072" w:rsidRPr="00015072" w:rsidRDefault="00015072" w:rsidP="00015072">
            <w:pPr>
              <w:pStyle w:val="NormalWeb"/>
              <w:numPr>
                <w:ilvl w:val="0"/>
                <w:numId w:val="29"/>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What do you notice? What do you wonder?</w:t>
            </w:r>
          </w:p>
        </w:tc>
      </w:tr>
    </w:tbl>
    <w:p w14:paraId="4757A2AF" w14:textId="77777777" w:rsidR="00015072" w:rsidRDefault="00015072" w:rsidP="00DD77BE"/>
    <w:p w14:paraId="4B2932EE" w14:textId="77777777" w:rsidR="000F2F25" w:rsidRDefault="000F2F25">
      <w:r>
        <w:br w:type="page"/>
      </w:r>
    </w:p>
    <w:p w14:paraId="5A435F1A" w14:textId="77777777" w:rsidR="00015072" w:rsidRDefault="00015072" w:rsidP="00015072">
      <w:pPr>
        <w:pStyle w:val="Heading2"/>
        <w:spacing w:before="0" w:after="240"/>
        <w:jc w:val="center"/>
      </w:pPr>
      <w:r>
        <w:rPr>
          <w:rFonts w:ascii="Calibri" w:hAnsi="Calibri" w:cs="Calibri"/>
          <w:color w:val="000000"/>
          <w:sz w:val="28"/>
          <w:szCs w:val="28"/>
          <w:u w:val="single"/>
        </w:rPr>
        <w:lastRenderedPageBreak/>
        <w:t>Kindergarten: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62BABAE5">
        <w:trPr>
          <w:trHeight w:val="5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7F31"/>
            <w:tcMar>
              <w:top w:w="100" w:type="dxa"/>
              <w:left w:w="100" w:type="dxa"/>
              <w:bottom w:w="100" w:type="dxa"/>
              <w:right w:w="100" w:type="dxa"/>
            </w:tcMar>
            <w:hideMark/>
          </w:tcPr>
          <w:p w14:paraId="53D85A19" w14:textId="77777777" w:rsidR="002C71F0" w:rsidRDefault="002C71F0" w:rsidP="62BABAE5">
            <w:pPr>
              <w:pStyle w:val="Heading3"/>
              <w:spacing w:before="0" w:after="80"/>
            </w:pPr>
            <w:r w:rsidRPr="62BABAE5">
              <w:rPr>
                <w:rFonts w:ascii="Arial" w:hAnsi="Arial" w:cs="Arial"/>
                <w:color w:val="000000" w:themeColor="text1"/>
              </w:rPr>
              <w:t>SELF-MANAGEMENT:</w:t>
            </w:r>
            <w:r w:rsidRPr="62BABAE5">
              <w:rPr>
                <w:rFonts w:ascii="Arial" w:hAnsi="Arial" w:cs="Arial"/>
                <w:color w:val="000000" w:themeColor="text1"/>
                <w:sz w:val="26"/>
                <w:szCs w:val="26"/>
              </w:rPr>
              <w:t xml:space="preserve"> </w:t>
            </w:r>
            <w:r w:rsidRPr="62BABAE5">
              <w:rPr>
                <w:rFonts w:ascii="Arial" w:hAnsi="Arial" w:cs="Arial"/>
                <w:b/>
                <w:bCs/>
                <w:color w:val="000000" w:themeColor="text1"/>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60458D41" w14:textId="533E2E30" w:rsidR="002C71F0" w:rsidRDefault="002C71F0" w:rsidP="46F3EF90">
            <w:pPr>
              <w:pStyle w:val="NormalWeb"/>
              <w:spacing w:before="0" w:beforeAutospacing="0" w:after="0" w:afterAutospacing="0"/>
            </w:pPr>
            <w:r w:rsidRPr="46F3EF90">
              <w:rPr>
                <w:rFonts w:ascii="Calibri" w:hAnsi="Calibri" w:cs="Calibri"/>
                <w:color w:val="000000" w:themeColor="text1"/>
              </w:rPr>
              <w:t>• Exhibiting self-discipline and self-motivation     • Demonstrating personal and collective agency                 • Managing one’s</w:t>
            </w:r>
            <w:r w:rsidR="2C14A720" w:rsidRPr="46F3EF90">
              <w:rPr>
                <w:rFonts w:ascii="Calibri" w:hAnsi="Calibri" w:cs="Calibri"/>
                <w:color w:val="000000" w:themeColor="text1"/>
              </w:rPr>
              <w:t xml:space="preserve"> emotions</w:t>
            </w:r>
          </w:p>
          <w:p w14:paraId="7FC1C4E0" w14:textId="2BC701D8" w:rsidR="002C71F0" w:rsidRDefault="002C71F0" w:rsidP="46F3EF90">
            <w:pPr>
              <w:pStyle w:val="NormalWeb"/>
              <w:spacing w:before="0" w:beforeAutospacing="0" w:after="0" w:afterAutospacing="0"/>
            </w:pPr>
            <w:r w:rsidRPr="46F3EF90">
              <w:rPr>
                <w:rFonts w:ascii="Calibri" w:hAnsi="Calibri" w:cs="Calibri"/>
                <w:color w:val="000000" w:themeColor="text1"/>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635217A2">
        <w:tc>
          <w:tcPr>
            <w:tcW w:w="14390" w:type="dxa"/>
          </w:tcPr>
          <w:p w14:paraId="206B0C6B" w14:textId="77777777" w:rsidR="002037AC" w:rsidRDefault="002037AC" w:rsidP="008A6846">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self-management:</w:t>
            </w:r>
          </w:p>
          <w:p w14:paraId="45C83738" w14:textId="77777777" w:rsidR="002037AC" w:rsidRDefault="002037AC" w:rsidP="002037AC">
            <w:pPr>
              <w:pStyle w:val="NormalWeb"/>
              <w:numPr>
                <w:ilvl w:val="0"/>
                <w:numId w:val="30"/>
              </w:numPr>
              <w:tabs>
                <w:tab w:val="clear" w:pos="720"/>
                <w:tab w:val="num" w:pos="360"/>
              </w:tabs>
              <w:spacing w:before="0" w:beforeAutospacing="0" w:after="200" w:afterAutospacing="0"/>
              <w:ind w:left="342" w:hanging="342"/>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take the initiative for their own learning</w:t>
            </w:r>
            <w:r>
              <w:rPr>
                <w:rFonts w:ascii="Calibri" w:hAnsi="Calibri" w:cs="Calibri"/>
                <w:b/>
                <w:bCs/>
                <w:color w:val="000000"/>
                <w:sz w:val="23"/>
                <w:szCs w:val="23"/>
              </w:rPr>
              <w:t xml:space="preserve">. </w:t>
            </w:r>
            <w:r>
              <w:rPr>
                <w:rFonts w:ascii="Calibri" w:hAnsi="Calibri" w:cs="Calibri"/>
                <w:color w:val="000000"/>
                <w:sz w:val="22"/>
                <w:szCs w:val="22"/>
              </w:rPr>
              <w:t xml:space="preserve">Embedding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 xml:space="preserve">Consider how to support and equip students to take the initiative and move learning forward. </w:t>
            </w:r>
            <w:r>
              <w:rPr>
                <w:rFonts w:ascii="Calibri" w:hAnsi="Calibri" w:cs="Calibri"/>
                <w:color w:val="000000"/>
                <w:sz w:val="22"/>
                <w:szCs w:val="22"/>
              </w:rPr>
              <w:t>For example, whether students choose to model with manipulatives, drawings or equations is up to the student; what is important is that they make sense of the problem and persevere in solving it (MP.1). </w:t>
            </w:r>
          </w:p>
          <w:p w14:paraId="0D97F007" w14:textId="77777777" w:rsidR="002037AC" w:rsidRPr="002037AC" w:rsidRDefault="002037AC" w:rsidP="002037AC">
            <w:pPr>
              <w:pStyle w:val="NormalWeb"/>
              <w:numPr>
                <w:ilvl w:val="0"/>
                <w:numId w:val="30"/>
              </w:numPr>
              <w:tabs>
                <w:tab w:val="clear" w:pos="720"/>
                <w:tab w:val="num" w:pos="360"/>
              </w:tabs>
              <w:spacing w:before="0" w:beforeAutospacing="0" w:after="200" w:afterAutospacing="0"/>
              <w:ind w:left="342" w:hanging="342"/>
              <w:textAlignment w:val="baseline"/>
            </w:pPr>
            <w:r>
              <w:rPr>
                <w:rFonts w:ascii="Calibri" w:hAnsi="Calibri" w:cs="Calibri"/>
                <w:b/>
                <w:bCs/>
                <w:color w:val="000000"/>
                <w:sz w:val="22"/>
                <w:szCs w:val="22"/>
              </w:rPr>
              <w:t xml:space="preserve">Routinely ask questions that encourage students to reflect on barriers they may encounter and help them think about ways they can overcome challenges. </w:t>
            </w:r>
            <w:r>
              <w:rPr>
                <w:rFonts w:ascii="Calibri" w:hAnsi="Calibri" w:cs="Calibri"/>
                <w:color w:val="000000"/>
                <w:sz w:val="22"/>
                <w:szCs w:val="22"/>
              </w:rPr>
              <w:t xml:space="preserve">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1"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to allow students to engage in productive struggle and take ownership of their progress and growth toward intended learning outcomes. While specific routines may vary among educators and even across different class sessions, routines can help foster a sense of predictability and safety for students as they learn mathematics. Consider engaging students in the development of success criteria, empowering them to evaluate where they are on the learning continuum and advocate for support as learning continues (MP.3). </w:t>
            </w:r>
          </w:p>
          <w:p w14:paraId="7C99779B" w14:textId="2B30942F" w:rsidR="002C71F0" w:rsidRDefault="2BF5DFD6" w:rsidP="635217A2">
            <w:pPr>
              <w:pStyle w:val="NormalWeb"/>
              <w:numPr>
                <w:ilvl w:val="0"/>
                <w:numId w:val="30"/>
              </w:numPr>
              <w:tabs>
                <w:tab w:val="clear" w:pos="720"/>
                <w:tab w:val="num" w:pos="360"/>
              </w:tabs>
              <w:spacing w:before="0" w:beforeAutospacing="0" w:after="200" w:afterAutospacing="0"/>
              <w:ind w:left="342" w:hanging="342"/>
              <w:textAlignment w:val="baseline"/>
            </w:pPr>
            <w:r w:rsidRPr="635217A2">
              <w:rPr>
                <w:rFonts w:ascii="Calibri" w:hAnsi="Calibri" w:cs="Calibri"/>
                <w:b/>
                <w:bCs/>
                <w:color w:val="000000" w:themeColor="text1"/>
                <w:sz w:val="22"/>
                <w:szCs w:val="22"/>
              </w:rPr>
              <w:t xml:space="preserve">Support students in setting personal and collective goals. </w:t>
            </w:r>
            <w:r w:rsidRPr="635217A2">
              <w:rPr>
                <w:rFonts w:ascii="Calibri" w:hAnsi="Calibri" w:cs="Calibri"/>
                <w:color w:val="000000" w:themeColor="text1"/>
                <w:sz w:val="22"/>
                <w:szCs w:val="22"/>
              </w:rPr>
              <w:t>Establish clear learning goals that promote mathematical learning as just, equitable and inclusive.</w:t>
            </w:r>
            <w:r w:rsidRPr="635217A2">
              <w:rPr>
                <w:rFonts w:ascii="Arial" w:hAnsi="Arial" w:cs="Arial"/>
                <w:b/>
                <w:bCs/>
                <w:color w:val="000000" w:themeColor="text1"/>
                <w:sz w:val="20"/>
                <w:szCs w:val="20"/>
              </w:rPr>
              <w:t xml:space="preserve"> </w:t>
            </w:r>
            <w:r w:rsidRPr="635217A2">
              <w:rPr>
                <w:rFonts w:ascii="Calibri" w:hAnsi="Calibri" w:cs="Calibri"/>
                <w:color w:val="000000" w:themeColor="text1"/>
                <w:sz w:val="22"/>
                <w:szCs w:val="22"/>
              </w:rPr>
              <w:t xml:space="preserve">Formative assessment strategies are used to equip and empower students to take ownership of their learning. Consider sharing the questions within </w:t>
            </w:r>
            <w:hyperlink r:id="rId22">
              <w:r w:rsidRPr="635217A2">
                <w:rPr>
                  <w:rStyle w:val="Hyperlink"/>
                  <w:rFonts w:ascii="Calibri" w:hAnsi="Calibri" w:cs="Calibri"/>
                  <w:color w:val="1155CC"/>
                  <w:sz w:val="22"/>
                  <w:szCs w:val="22"/>
                </w:rPr>
                <w:t>A Family Guide to Understanding Assessment</w:t>
              </w:r>
            </w:hyperlink>
            <w:r w:rsidRPr="635217A2">
              <w:rPr>
                <w:rFonts w:ascii="Calibri" w:hAnsi="Calibri" w:cs="Calibri"/>
                <w:color w:val="000000" w:themeColor="text1"/>
                <w:sz w:val="22"/>
                <w:szCs w:val="22"/>
              </w:rPr>
              <w:t xml:space="preserve"> to enable students and families to continue to strengthen student self-</w:t>
            </w:r>
            <w:r w:rsidR="4AD12261" w:rsidRPr="635217A2">
              <w:rPr>
                <w:rFonts w:ascii="Calibri" w:hAnsi="Calibri" w:cs="Calibri"/>
                <w:color w:val="000000" w:themeColor="text1"/>
                <w:sz w:val="22"/>
                <w:szCs w:val="22"/>
              </w:rPr>
              <w:t>management in</w:t>
            </w:r>
            <w:r w:rsidRPr="635217A2">
              <w:rPr>
                <w:rFonts w:ascii="Calibri" w:hAnsi="Calibri" w:cs="Calibri"/>
                <w:color w:val="000000" w:themeColor="text1"/>
                <w:sz w:val="22"/>
                <w:szCs w:val="22"/>
              </w:rPr>
              <w:t xml:space="preserve"> a variety of situations. For example, students set goals based on where they are with the math standards they are learning and consistently check to see where they are and where they are going in their learning.</w:t>
            </w:r>
          </w:p>
        </w:tc>
      </w:tr>
    </w:tbl>
    <w:p w14:paraId="7D16C8A7" w14:textId="77777777" w:rsidR="00E52E35" w:rsidRDefault="00E52E35" w:rsidP="002037AC">
      <w:pPr>
        <w:spacing w:after="0"/>
      </w:pPr>
    </w:p>
    <w:tbl>
      <w:tblPr>
        <w:tblStyle w:val="TableGrid"/>
        <w:tblW w:w="0" w:type="auto"/>
        <w:tblLook w:val="04A0" w:firstRow="1" w:lastRow="0" w:firstColumn="1" w:lastColumn="0" w:noHBand="0" w:noVBand="1"/>
      </w:tblPr>
      <w:tblGrid>
        <w:gridCol w:w="14390"/>
      </w:tblGrid>
      <w:tr w:rsidR="002037AC" w14:paraId="3051F5B3" w14:textId="77777777" w:rsidTr="008952BF">
        <w:tc>
          <w:tcPr>
            <w:tcW w:w="14390" w:type="dxa"/>
            <w:shd w:val="clear" w:color="auto" w:fill="EDEDED" w:themeFill="accent3" w:themeFillTint="33"/>
          </w:tcPr>
          <w:p w14:paraId="6BD3D340" w14:textId="77777777" w:rsidR="008952BF" w:rsidRDefault="008952BF" w:rsidP="008952BF">
            <w:pPr>
              <w:pStyle w:val="NormalWeb"/>
              <w:spacing w:before="0" w:beforeAutospacing="0" w:after="0" w:afterAutospacing="0" w:line="276" w:lineRule="auto"/>
              <w:ind w:right="84"/>
            </w:pPr>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self-management:</w:t>
            </w:r>
          </w:p>
          <w:p w14:paraId="385C3CCE" w14:textId="77777777" w:rsidR="008952BF" w:rsidRDefault="008952BF" w:rsidP="008952BF">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45957CBC" w14:textId="77777777" w:rsidR="008952BF" w:rsidRDefault="008952BF" w:rsidP="008952BF">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12DF003B" w14:textId="77777777" w:rsidR="008952BF" w:rsidRDefault="008952BF" w:rsidP="008952BF">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1018994C" w14:textId="77777777" w:rsidR="008952BF" w:rsidRDefault="008952BF" w:rsidP="008952BF">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1ABDC57D" w14:textId="77777777" w:rsidR="008952BF" w:rsidRDefault="008952BF" w:rsidP="008952BF">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7D4E0DD2" w14:textId="77777777" w:rsidR="008952BF" w:rsidRDefault="008952BF" w:rsidP="008952BF">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66BF3C5F" w14:textId="77777777" w:rsidR="008952BF" w:rsidRPr="008952BF" w:rsidRDefault="008952BF" w:rsidP="008952BF">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7BF63B68" w14:textId="5CE20AA5" w:rsidR="002037AC" w:rsidRDefault="008952BF" w:rsidP="008952BF">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23"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24"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436D4C28" w14:textId="77777777" w:rsidR="002037AC" w:rsidRDefault="002037AC" w:rsidP="008952BF">
      <w:pPr>
        <w:spacing w:after="0"/>
      </w:pPr>
    </w:p>
    <w:tbl>
      <w:tblPr>
        <w:tblStyle w:val="TableGrid"/>
        <w:tblW w:w="0" w:type="auto"/>
        <w:tblLook w:val="04A0" w:firstRow="1" w:lastRow="0" w:firstColumn="1" w:lastColumn="0" w:noHBand="0" w:noVBand="1"/>
      </w:tblPr>
      <w:tblGrid>
        <w:gridCol w:w="14390"/>
      </w:tblGrid>
      <w:tr w:rsidR="008952BF" w14:paraId="502FCC74" w14:textId="77777777" w:rsidTr="00E52E35">
        <w:tc>
          <w:tcPr>
            <w:tcW w:w="14390" w:type="dxa"/>
            <w:shd w:val="clear" w:color="auto" w:fill="D9E2F3" w:themeFill="accent1" w:themeFillTint="33"/>
          </w:tcPr>
          <w:p w14:paraId="574698A3" w14:textId="77777777" w:rsidR="00E52E35" w:rsidRDefault="00E52E35" w:rsidP="00E52E35">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self-management </w:t>
            </w:r>
            <w:r>
              <w:rPr>
                <w:rFonts w:ascii="Calibri" w:hAnsi="Calibri" w:cs="Calibri"/>
                <w:color w:val="000000"/>
              </w:rPr>
              <w:t>in students:</w:t>
            </w:r>
          </w:p>
          <w:p w14:paraId="4A5A8D37" w14:textId="77777777" w:rsidR="00E52E35" w:rsidRDefault="00E52E35" w:rsidP="00E52E35">
            <w:pPr>
              <w:pStyle w:val="NormalWeb"/>
              <w:numPr>
                <w:ilvl w:val="0"/>
                <w:numId w:val="3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Does your plan make sense? Why or why not?</w:t>
            </w:r>
          </w:p>
          <w:p w14:paraId="0EE85552" w14:textId="77777777" w:rsidR="00E52E35" w:rsidRDefault="00E52E35" w:rsidP="00E52E35">
            <w:pPr>
              <w:pStyle w:val="NormalWeb"/>
              <w:numPr>
                <w:ilvl w:val="0"/>
                <w:numId w:val="3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are you having trouble with? What is working well? Are there areas in which you need improvement?</w:t>
            </w:r>
          </w:p>
          <w:p w14:paraId="2B96B879" w14:textId="7BA91C4F" w:rsidR="008952BF" w:rsidRPr="00E52E35" w:rsidRDefault="00E52E35" w:rsidP="00E52E35">
            <w:pPr>
              <w:pStyle w:val="NormalWeb"/>
              <w:numPr>
                <w:ilvl w:val="0"/>
                <w:numId w:val="3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you check this?</w:t>
            </w:r>
          </w:p>
        </w:tc>
      </w:tr>
    </w:tbl>
    <w:p w14:paraId="520C5449" w14:textId="5B70A9B9" w:rsidR="002C71F0" w:rsidRDefault="002C71F0">
      <w:r>
        <w:br w:type="page"/>
      </w:r>
    </w:p>
    <w:p w14:paraId="0FF41DB9" w14:textId="77777777" w:rsidR="00E52E35" w:rsidRDefault="00E52E35" w:rsidP="00E52E35">
      <w:pPr>
        <w:pStyle w:val="Heading2"/>
        <w:spacing w:before="0" w:after="240"/>
        <w:jc w:val="center"/>
      </w:pPr>
      <w:r>
        <w:rPr>
          <w:rFonts w:ascii="Calibri" w:hAnsi="Calibri" w:cs="Calibri"/>
          <w:color w:val="000000"/>
          <w:sz w:val="28"/>
          <w:szCs w:val="28"/>
          <w:u w:val="single"/>
        </w:rPr>
        <w:lastRenderedPageBreak/>
        <w:t>Kindergarten: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00A4728D">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0FAE8815" w14:textId="77777777" w:rsidR="00A4728D" w:rsidRDefault="00A4728D">
            <w:pPr>
              <w:pStyle w:val="Heading3"/>
              <w:spacing w:before="8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79657A77"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w:t>
            </w:r>
            <w:r w:rsidR="00841A5D">
              <w:rPr>
                <w:rFonts w:ascii="Calibri" w:hAnsi="Calibri" w:cs="Calibri"/>
                <w:color w:val="000000"/>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635217A2">
        <w:tc>
          <w:tcPr>
            <w:tcW w:w="14390" w:type="dxa"/>
          </w:tcPr>
          <w:p w14:paraId="72880092" w14:textId="77777777" w:rsidR="00207C99" w:rsidRDefault="00207C99" w:rsidP="008A6846">
            <w:pPr>
              <w:pStyle w:val="NormalWeb"/>
              <w:spacing w:before="0" w:beforeAutospacing="0" w:after="240" w:afterAutospacing="0"/>
            </w:pPr>
            <w:r>
              <w:rPr>
                <w:rFonts w:ascii="Calibri" w:hAnsi="Calibri" w:cs="Calibri"/>
                <w:color w:val="000000"/>
              </w:rPr>
              <w:t>Considerations when designing mathematics instruction that fosters</w:t>
            </w:r>
            <w:r>
              <w:rPr>
                <w:rFonts w:ascii="Calibri" w:hAnsi="Calibri" w:cs="Calibri"/>
                <w:b/>
                <w:bCs/>
                <w:color w:val="000000"/>
              </w:rPr>
              <w:t xml:space="preserve"> social awareness:</w:t>
            </w:r>
          </w:p>
          <w:p w14:paraId="3D6B7F67" w14:textId="77777777" w:rsidR="00207C99" w:rsidRPr="00207C99" w:rsidRDefault="00207C99" w:rsidP="00580EBE">
            <w:pPr>
              <w:pStyle w:val="NormalWeb"/>
              <w:numPr>
                <w:ilvl w:val="0"/>
                <w:numId w:val="33"/>
              </w:numPr>
              <w:tabs>
                <w:tab w:val="clear" w:pos="720"/>
                <w:tab w:val="num" w:pos="360"/>
              </w:tabs>
              <w:spacing w:before="0" w:beforeAutospacing="0" w:after="200" w:afterAutospacing="0"/>
              <w:ind w:left="342" w:right="360"/>
              <w:textAlignment w:val="baseline"/>
            </w:pPr>
            <w:r>
              <w:rPr>
                <w:rFonts w:ascii="Calibri" w:hAnsi="Calibri" w:cs="Calibri"/>
                <w:b/>
                <w:bCs/>
                <w:color w:val="000000"/>
                <w:sz w:val="22"/>
                <w:szCs w:val="22"/>
              </w:rPr>
              <w:t>Promote a sense of belonging.</w:t>
            </w:r>
            <w:r>
              <w:rPr>
                <w:rFonts w:ascii="Calibri" w:hAnsi="Calibri" w:cs="Calibri"/>
                <w:color w:val="000000"/>
                <w:sz w:val="22"/>
                <w:szCs w:val="22"/>
              </w:rPr>
              <w:t xml:space="preserve"> </w:t>
            </w:r>
            <w:r>
              <w:rPr>
                <w:rFonts w:ascii="Calibri" w:hAnsi="Calibri" w:cs="Calibri"/>
                <w:color w:val="000000"/>
                <w:sz w:val="22"/>
                <w:szCs w:val="22"/>
                <w:shd w:val="clear" w:color="auto" w:fill="FFFFFF"/>
              </w:rPr>
              <w:t>Build a safe community where mathematical discourse supports active listening, promotes diverse perspectives and insights, and allows students to consider others’ reasoning to advance their own mathematical understanding.</w:t>
            </w:r>
            <w:r>
              <w:rPr>
                <w:rFonts w:ascii="Arial" w:hAnsi="Arial" w:cs="Arial"/>
                <w:color w:val="000000"/>
                <w:sz w:val="20"/>
                <w:szCs w:val="20"/>
                <w:shd w:val="clear" w:color="auto" w:fill="FFFFFF"/>
              </w:rPr>
              <w:t xml:space="preserve"> </w:t>
            </w:r>
            <w:r>
              <w:rPr>
                <w:rFonts w:ascii="Calibri" w:hAnsi="Calibri" w:cs="Calibri"/>
                <w:color w:val="000000"/>
                <w:sz w:val="22"/>
                <w:szCs w:val="22"/>
              </w:rPr>
              <w:t xml:space="preserve">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25"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26"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Students engage in math routines, such as number talks, choral counting, counting collections and other counting routines, so that students see themselves as a part of a community (MP.7).</w:t>
            </w:r>
          </w:p>
          <w:p w14:paraId="05B3947D" w14:textId="2047851B" w:rsidR="00A4728D" w:rsidRDefault="560B2D69" w:rsidP="635217A2">
            <w:pPr>
              <w:pStyle w:val="NormalWeb"/>
              <w:numPr>
                <w:ilvl w:val="0"/>
                <w:numId w:val="33"/>
              </w:numPr>
              <w:tabs>
                <w:tab w:val="clear" w:pos="720"/>
                <w:tab w:val="num" w:pos="360"/>
              </w:tabs>
              <w:spacing w:before="0" w:beforeAutospacing="0" w:after="200" w:afterAutospacing="0"/>
              <w:ind w:left="342" w:right="360"/>
              <w:textAlignment w:val="baseline"/>
            </w:pPr>
            <w:r>
              <w:rPr>
                <w:rFonts w:ascii="Calibri" w:hAnsi="Calibri" w:cs="Calibri"/>
                <w:b/>
                <w:bCs/>
                <w:color w:val="000000"/>
                <w:sz w:val="22"/>
                <w:szCs w:val="22"/>
                <w:shd w:val="clear" w:color="auto" w:fill="FFFFFF"/>
              </w:rPr>
              <w:t>Design structured and unstructured time for students to actively collaborate with their classmates.</w:t>
            </w:r>
            <w:r>
              <w:rPr>
                <w:rFonts w:ascii="Calibri" w:hAnsi="Calibri" w:cs="Calibri"/>
                <w:color w:val="000000"/>
                <w:sz w:val="22"/>
                <w:szCs w:val="22"/>
                <w:shd w:val="clear" w:color="auto" w:fill="FFFFFF"/>
              </w:rPr>
              <w:t xml:space="preserve"> Reflect on student identities and agency to build diverse groups. Position students as </w:t>
            </w:r>
            <w:r w:rsidR="3CE7E601">
              <w:rPr>
                <w:rFonts w:ascii="Calibri" w:hAnsi="Calibri" w:cs="Calibri"/>
                <w:color w:val="000000"/>
                <w:sz w:val="22"/>
                <w:szCs w:val="22"/>
                <w:shd w:val="clear" w:color="auto" w:fill="FFFFFF"/>
              </w:rPr>
              <w:t>competent and</w:t>
            </w:r>
            <w:r>
              <w:rPr>
                <w:rFonts w:ascii="Calibri" w:hAnsi="Calibri" w:cs="Calibri"/>
                <w:color w:val="000000"/>
                <w:sz w:val="22"/>
                <w:szCs w:val="22"/>
                <w:shd w:val="clear" w:color="auto" w:fill="FFFFFF"/>
              </w:rPr>
              <w:t xml:space="preserve"> elevate the status of students by valuing different contributions students make when they share representations and make connections between these representations. Translating between multiple representations helps students understand each form represents the same relationship and provides </w:t>
            </w:r>
            <w:r w:rsidR="0874EC69">
              <w:rPr>
                <w:rFonts w:ascii="Calibri" w:hAnsi="Calibri" w:cs="Calibri"/>
                <w:color w:val="000000"/>
                <w:sz w:val="22"/>
                <w:szCs w:val="22"/>
                <w:shd w:val="clear" w:color="auto" w:fill="FFFFFF"/>
              </w:rPr>
              <w:t>a unique perspective</w:t>
            </w:r>
            <w:r>
              <w:rPr>
                <w:rFonts w:ascii="Calibri" w:hAnsi="Calibri" w:cs="Calibri"/>
                <w:color w:val="000000"/>
                <w:sz w:val="22"/>
                <w:szCs w:val="22"/>
                <w:shd w:val="clear" w:color="auto" w:fill="FFFFFF"/>
              </w:rPr>
              <w:t xml:space="preserve"> on the relationship (MP.3). Engage students in making connections among mathematical representations to deepen understanding of mathematics concepts and procedures as tools for problem solving (NCTM, 2014). Students can grow their skills in problem solving, cooperation, communication, innovation, reflection, self-regulation and empathy. In Kindergarten, this might look like students sharing tasks, such as counting out supplies when in math centers (MP.1).</w:t>
            </w:r>
          </w:p>
        </w:tc>
      </w:tr>
    </w:tbl>
    <w:p w14:paraId="624F38B5" w14:textId="7E425DB1" w:rsidR="00A4728D" w:rsidRDefault="00A4728D" w:rsidP="008A6846">
      <w:pPr>
        <w:spacing w:after="0"/>
      </w:pPr>
    </w:p>
    <w:tbl>
      <w:tblPr>
        <w:tblStyle w:val="TableGrid"/>
        <w:tblW w:w="0" w:type="auto"/>
        <w:tblLook w:val="04A0" w:firstRow="1" w:lastRow="0" w:firstColumn="1" w:lastColumn="0" w:noHBand="0" w:noVBand="1"/>
      </w:tblPr>
      <w:tblGrid>
        <w:gridCol w:w="14390"/>
      </w:tblGrid>
      <w:tr w:rsidR="008A6846" w14:paraId="6295786A" w14:textId="77777777" w:rsidTr="00580EBE">
        <w:tc>
          <w:tcPr>
            <w:tcW w:w="14390" w:type="dxa"/>
            <w:shd w:val="clear" w:color="auto" w:fill="EDEDED" w:themeFill="accent3" w:themeFillTint="33"/>
          </w:tcPr>
          <w:p w14:paraId="1816B31D" w14:textId="1AC88F99" w:rsidR="00580EBE" w:rsidRDefault="00580EBE" w:rsidP="00580EBE">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39E227B1" w14:textId="77777777" w:rsidR="00580EBE" w:rsidRDefault="00580EBE" w:rsidP="00580EBE">
            <w:pPr>
              <w:pStyle w:val="NormalWeb"/>
              <w:numPr>
                <w:ilvl w:val="0"/>
                <w:numId w:val="3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lastRenderedPageBreak/>
              <w:t>How do I group my students for collaborations and small-group work (ability, homogenous or heterogenous according to a specific criteria)? Is there anything I might want to shift about my current approach?</w:t>
            </w:r>
          </w:p>
          <w:p w14:paraId="34198812" w14:textId="77777777" w:rsidR="00580EBE" w:rsidRDefault="00580EBE" w:rsidP="00580EBE">
            <w:pPr>
              <w:pStyle w:val="NormalWeb"/>
              <w:numPr>
                <w:ilvl w:val="0"/>
                <w:numId w:val="3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is learning typically arranged in my classroom? Is </w:t>
            </w:r>
            <w:proofErr w:type="gramStart"/>
            <w:r>
              <w:rPr>
                <w:rFonts w:ascii="Calibri" w:hAnsi="Calibri" w:cs="Calibri"/>
                <w:color w:val="000000"/>
                <w:sz w:val="22"/>
                <w:szCs w:val="22"/>
              </w:rPr>
              <w:t>it</w:t>
            </w:r>
            <w:proofErr w:type="gramEnd"/>
            <w:r>
              <w:rPr>
                <w:rFonts w:ascii="Calibri" w:hAnsi="Calibri" w:cs="Calibri"/>
                <w:color w:val="000000"/>
                <w:sz w:val="22"/>
                <w:szCs w:val="22"/>
              </w:rPr>
              <w:t xml:space="preserve"> individual practice, whole-group instruction, collaborative work, exploration? Why or how do I choose these approaches for practice? Are there other strategies and structures I might want to use in the classroom?</w:t>
            </w:r>
          </w:p>
          <w:p w14:paraId="5285DB0D" w14:textId="77777777" w:rsidR="00580EBE" w:rsidRDefault="00580EBE" w:rsidP="00580EBE">
            <w:pPr>
              <w:pStyle w:val="NormalWeb"/>
              <w:numPr>
                <w:ilvl w:val="0"/>
                <w:numId w:val="3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74316A9F" w14:textId="77777777" w:rsidR="00580EBE" w:rsidRDefault="00580EBE" w:rsidP="00580EBE">
            <w:pPr>
              <w:pStyle w:val="NormalWeb"/>
              <w:numPr>
                <w:ilvl w:val="0"/>
                <w:numId w:val="3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26D43AFE" w14:textId="77777777" w:rsidR="00580EBE" w:rsidRDefault="00580EBE" w:rsidP="00580EBE">
            <w:pPr>
              <w:pStyle w:val="NormalWeb"/>
              <w:numPr>
                <w:ilvl w:val="0"/>
                <w:numId w:val="3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36E7E509" w14:textId="77777777" w:rsidR="00580EBE" w:rsidRDefault="00580EBE" w:rsidP="00580EBE">
            <w:pPr>
              <w:pStyle w:val="NormalWeb"/>
              <w:numPr>
                <w:ilvl w:val="0"/>
                <w:numId w:val="3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794A5E09" w14:textId="77777777" w:rsidR="00580EBE" w:rsidRDefault="00580EBE" w:rsidP="00580EBE">
            <w:pPr>
              <w:pStyle w:val="NormalWeb"/>
              <w:numPr>
                <w:ilvl w:val="0"/>
                <w:numId w:val="34"/>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6640E4C6" w14:textId="0CE15E3A" w:rsidR="008A6846" w:rsidRDefault="00580EBE" w:rsidP="00580EBE">
            <w:pPr>
              <w:pStyle w:val="NormalWeb"/>
              <w:numPr>
                <w:ilvl w:val="0"/>
                <w:numId w:val="34"/>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5311441D" w14:textId="77777777" w:rsidR="008A6846" w:rsidRDefault="008A6846" w:rsidP="005E6BC6">
      <w:pPr>
        <w:spacing w:after="0"/>
      </w:pPr>
    </w:p>
    <w:tbl>
      <w:tblPr>
        <w:tblStyle w:val="TableGrid"/>
        <w:tblW w:w="0" w:type="auto"/>
        <w:tblLook w:val="04A0" w:firstRow="1" w:lastRow="0" w:firstColumn="1" w:lastColumn="0" w:noHBand="0" w:noVBand="1"/>
      </w:tblPr>
      <w:tblGrid>
        <w:gridCol w:w="14390"/>
      </w:tblGrid>
      <w:tr w:rsidR="00580EBE" w14:paraId="05BB407A" w14:textId="77777777" w:rsidTr="005E6BC6">
        <w:tc>
          <w:tcPr>
            <w:tcW w:w="14390" w:type="dxa"/>
            <w:shd w:val="clear" w:color="auto" w:fill="D9E2F3" w:themeFill="accent1" w:themeFillTint="33"/>
          </w:tcPr>
          <w:p w14:paraId="4955D7C3" w14:textId="77777777" w:rsidR="005E6BC6" w:rsidRDefault="005E6BC6" w:rsidP="005E6BC6">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social awareness </w:t>
            </w:r>
            <w:r>
              <w:rPr>
                <w:rFonts w:ascii="Calibri" w:hAnsi="Calibri" w:cs="Calibri"/>
                <w:color w:val="000000"/>
              </w:rPr>
              <w:t>in students:</w:t>
            </w:r>
          </w:p>
          <w:p w14:paraId="7D4326A2" w14:textId="77777777" w:rsidR="005E6BC6" w:rsidRDefault="005E6BC6" w:rsidP="005E6BC6">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think about what ___ said? Do you agree? Why or why not? </w:t>
            </w:r>
          </w:p>
          <w:p w14:paraId="142E0A0B" w14:textId="77777777" w:rsidR="005E6BC6" w:rsidRDefault="005E6BC6" w:rsidP="005E6BC6">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___’s way of solving the problem like/different from yours? </w:t>
            </w:r>
          </w:p>
          <w:p w14:paraId="7598E5F8" w14:textId="1E028E18" w:rsidR="00580EBE" w:rsidRPr="005E6BC6" w:rsidRDefault="005E6BC6" w:rsidP="005E6BC6">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What patterns do you find in ____? How do you know ____ is a pattern?</w:t>
            </w:r>
          </w:p>
        </w:tc>
      </w:tr>
    </w:tbl>
    <w:p w14:paraId="56C084BF" w14:textId="50BD408B" w:rsidR="00A4728D" w:rsidRDefault="00A4728D">
      <w:r>
        <w:br w:type="page"/>
      </w:r>
    </w:p>
    <w:p w14:paraId="56488526" w14:textId="77777777" w:rsidR="00DE0DB7" w:rsidRDefault="00DE0DB7" w:rsidP="00DE0DB7">
      <w:pPr>
        <w:pStyle w:val="Heading2"/>
        <w:spacing w:before="0" w:after="240"/>
        <w:jc w:val="center"/>
      </w:pPr>
      <w:r>
        <w:rPr>
          <w:rFonts w:ascii="Calibri" w:hAnsi="Calibri" w:cs="Calibri"/>
          <w:color w:val="000000"/>
          <w:sz w:val="28"/>
          <w:szCs w:val="28"/>
          <w:u w:val="single"/>
        </w:rPr>
        <w:lastRenderedPageBreak/>
        <w:t>Kindergarten: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pPr>
              <w:pStyle w:val="Heading3"/>
              <w:spacing w:before="8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635217A2">
        <w:tc>
          <w:tcPr>
            <w:tcW w:w="14390" w:type="dxa"/>
          </w:tcPr>
          <w:p w14:paraId="0ED6E589" w14:textId="77777777" w:rsidR="0015111B" w:rsidRDefault="325C763A" w:rsidP="635217A2">
            <w:pPr>
              <w:pStyle w:val="NormalWeb"/>
              <w:spacing w:before="0" w:beforeAutospacing="0" w:after="0" w:afterAutospacing="0"/>
            </w:pPr>
            <w:r w:rsidRPr="635217A2">
              <w:rPr>
                <w:rFonts w:ascii="Calibri" w:hAnsi="Calibri" w:cs="Calibri"/>
                <w:color w:val="000000" w:themeColor="text1"/>
              </w:rPr>
              <w:t>Considerations when designing mathematics instruction that fosters</w:t>
            </w:r>
            <w:r w:rsidRPr="635217A2">
              <w:rPr>
                <w:rFonts w:ascii="Calibri" w:hAnsi="Calibri" w:cs="Calibri"/>
                <w:b/>
                <w:bCs/>
                <w:color w:val="000000" w:themeColor="text1"/>
              </w:rPr>
              <w:t xml:space="preserve"> relationship skills</w:t>
            </w:r>
            <w:r w:rsidRPr="635217A2">
              <w:rPr>
                <w:rFonts w:ascii="Calibri" w:hAnsi="Calibri" w:cs="Calibri"/>
                <w:color w:val="000000" w:themeColor="text1"/>
              </w:rPr>
              <w:t>:</w:t>
            </w:r>
          </w:p>
          <w:p w14:paraId="430878B1" w14:textId="3618ABE3" w:rsidR="635217A2" w:rsidRDefault="635217A2" w:rsidP="635217A2">
            <w:pPr>
              <w:pStyle w:val="NormalWeb"/>
              <w:spacing w:before="0" w:beforeAutospacing="0" w:after="0" w:afterAutospacing="0"/>
              <w:rPr>
                <w:rFonts w:ascii="Calibri" w:hAnsi="Calibri" w:cs="Calibri"/>
                <w:color w:val="000000" w:themeColor="text1"/>
              </w:rPr>
            </w:pPr>
          </w:p>
          <w:p w14:paraId="653062E1" w14:textId="333B6929" w:rsidR="0015111B" w:rsidRDefault="325C763A" w:rsidP="635217A2">
            <w:pPr>
              <w:pStyle w:val="NormalWeb"/>
              <w:numPr>
                <w:ilvl w:val="0"/>
                <w:numId w:val="36"/>
              </w:numPr>
              <w:tabs>
                <w:tab w:val="clear" w:pos="720"/>
              </w:tabs>
              <w:spacing w:before="0" w:beforeAutospacing="0" w:after="200" w:afterAutospacing="0"/>
              <w:ind w:left="342" w:right="360" w:hanging="342"/>
              <w:textAlignment w:val="baseline"/>
              <w:rPr>
                <w:rFonts w:ascii="Calibri" w:hAnsi="Calibri" w:cs="Calibri"/>
                <w:color w:val="000000"/>
              </w:rPr>
            </w:pPr>
            <w:r>
              <w:rPr>
                <w:rFonts w:ascii="Calibri" w:hAnsi="Calibri" w:cs="Calibri"/>
                <w:b/>
                <w:bCs/>
                <w:color w:val="000000"/>
                <w:sz w:val="22"/>
                <w:szCs w:val="22"/>
              </w:rPr>
              <w:t>Promote skills in cooperation and communication.</w:t>
            </w:r>
            <w:r>
              <w:rPr>
                <w:rFonts w:ascii="Calibri" w:hAnsi="Calibri" w:cs="Calibri"/>
                <w:color w:val="000000"/>
                <w:sz w:val="22"/>
                <w:szCs w:val="22"/>
              </w:rPr>
              <w:t xml:space="preserve"> Enhance students’ mathematical agency by including regular collaborative opportunities for students to work together with others as a team on </w:t>
            </w:r>
            <w:hyperlink r:id="rId27"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w:t>
            </w:r>
            <w:r>
              <w:rPr>
                <w:rFonts w:ascii="Calibri" w:hAnsi="Calibri" w:cs="Calibri"/>
                <w:color w:val="000000"/>
                <w:sz w:val="22"/>
                <w:szCs w:val="22"/>
                <w:shd w:val="clear" w:color="auto" w:fill="FFFFFF"/>
              </w:rPr>
              <w:t xml:space="preserve">Collaborative learning experiences also can serve to reinforce </w:t>
            </w:r>
            <w:r w:rsidR="75CCFF5D">
              <w:rPr>
                <w:rFonts w:ascii="Calibri" w:hAnsi="Calibri" w:cs="Calibri"/>
                <w:color w:val="000000"/>
                <w:sz w:val="22"/>
                <w:szCs w:val="22"/>
                <w:shd w:val="clear" w:color="auto" w:fill="FFFFFF"/>
              </w:rPr>
              <w:t>self-management</w:t>
            </w:r>
            <w:r>
              <w:rPr>
                <w:rFonts w:ascii="Calibri" w:hAnsi="Calibri" w:cs="Calibri"/>
                <w:color w:val="000000"/>
                <w:sz w:val="22"/>
                <w:szCs w:val="22"/>
                <w:shd w:val="clear" w:color="auto" w:fill="FFFFFF"/>
              </w:rPr>
              <w:t xml:space="preserve"> skills. One way to do this might be to urge students to continually evaluate and talk to their peers about the reasonableness of their results. For instance, </w:t>
            </w:r>
            <w:r>
              <w:rPr>
                <w:rFonts w:ascii="Calibri" w:hAnsi="Calibri" w:cs="Calibri"/>
                <w:color w:val="000000"/>
                <w:sz w:val="22"/>
                <w:szCs w:val="22"/>
              </w:rPr>
              <w:t>consider how you might embed opportunities for students to work in pairs or small groups counting objects, practicing fluency within 5 and building numbers within 10 (MP.6). Collaborative learning experiences help foster cooperation and communication in the classroom. </w:t>
            </w:r>
          </w:p>
          <w:p w14:paraId="28291030" w14:textId="77777777" w:rsidR="0015111B" w:rsidRPr="0015111B" w:rsidRDefault="0015111B" w:rsidP="0015111B">
            <w:pPr>
              <w:pStyle w:val="NormalWeb"/>
              <w:numPr>
                <w:ilvl w:val="0"/>
                <w:numId w:val="36"/>
              </w:numPr>
              <w:tabs>
                <w:tab w:val="clear" w:pos="720"/>
              </w:tabs>
              <w:spacing w:before="0" w:beforeAutospacing="0" w:after="200" w:afterAutospacing="0"/>
              <w:ind w:left="342" w:right="360" w:hanging="342"/>
              <w:textAlignment w:val="baseline"/>
            </w:pPr>
            <w:r>
              <w:rPr>
                <w:rFonts w:ascii="Calibri" w:hAnsi="Calibri" w:cs="Calibri"/>
                <w:b/>
                <w:bCs/>
                <w:color w:val="000000"/>
                <w:sz w:val="22"/>
                <w:szCs w:val="22"/>
              </w:rPr>
              <w:t xml:space="preserve">Empower </w:t>
            </w:r>
            <w:r>
              <w:rPr>
                <w:rFonts w:ascii="Calibri" w:hAnsi="Calibri" w:cs="Calibri"/>
                <w:b/>
                <w:bCs/>
                <w:color w:val="000000"/>
                <w:sz w:val="22"/>
                <w:szCs w:val="22"/>
                <w:shd w:val="clear" w:color="auto" w:fill="FFFFFF"/>
              </w:rPr>
              <w:t>students to give and receive constructive feedback.</w:t>
            </w:r>
            <w:r>
              <w:rPr>
                <w:rFonts w:ascii="Calibri" w:hAnsi="Calibri" w:cs="Calibri"/>
                <w:color w:val="000000"/>
                <w:sz w:val="22"/>
                <w:szCs w:val="22"/>
                <w:shd w:val="clear" w:color="auto" w:fill="FFFFFF"/>
              </w:rPr>
              <w:t xml:space="preserve"> Intentionally use collaborative work groups to reinforce the importance of working together to solve problems and achieve goals</w:t>
            </w:r>
            <w:r>
              <w:rPr>
                <w:rFonts w:ascii="Arial" w:hAnsi="Arial" w:cs="Arial"/>
                <w:b/>
                <w:bCs/>
                <w:color w:val="000000"/>
                <w:sz w:val="20"/>
                <w:szCs w:val="20"/>
                <w:shd w:val="clear" w:color="auto" w:fill="FFFFFF"/>
              </w:rPr>
              <w:t xml:space="preserve">. </w:t>
            </w:r>
            <w:r>
              <w:rPr>
                <w:rFonts w:ascii="Calibri" w:hAnsi="Calibri" w:cs="Calibri"/>
                <w:color w:val="000000"/>
                <w:sz w:val="22"/>
                <w:szCs w:val="22"/>
                <w:shd w:val="clear" w:color="auto" w:fill="FFFFFF"/>
              </w:rPr>
              <w:t>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w:t>
            </w:r>
            <w:r>
              <w:rPr>
                <w:rFonts w:ascii="Calibri" w:hAnsi="Calibri" w:cs="Calibri"/>
                <w:color w:val="000000"/>
                <w:sz w:val="22"/>
                <w:szCs w:val="22"/>
              </w:rPr>
              <w:t xml:space="preserve"> For example, in </w:t>
            </w:r>
            <w:hyperlink r:id="rId28" w:anchor="page=23" w:history="1">
              <w:r>
                <w:rPr>
                  <w:rStyle w:val="Hyperlink"/>
                  <w:rFonts w:ascii="Calibri" w:hAnsi="Calibri" w:cs="Calibri"/>
                  <w:color w:val="1155CC"/>
                  <w:sz w:val="22"/>
                  <w:szCs w:val="22"/>
                </w:rPr>
                <w:t>Numbers and Operations in Base Ten, Cluster: Working with numbers 11-19 to gain foundation for place value</w:t>
              </w:r>
            </w:hyperlink>
            <w:r>
              <w:rPr>
                <w:rFonts w:ascii="Calibri" w:hAnsi="Calibri" w:cs="Calibri"/>
                <w:color w:val="000000"/>
                <w:sz w:val="22"/>
                <w:szCs w:val="22"/>
              </w:rPr>
              <w:t xml:space="preserve">, one student might work with 16 counters, places ten counters in a cup and leaves 6 counters on the table and represents this idea using the equation 16=10+6, while another student working with 16 counters places ten counters in a cup and leaves 6 counters on the table and represents their idea with the equation 10+6=16. Use </w:t>
            </w:r>
            <w:hyperlink r:id="rId29"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(NCTM, 2014). By thinking about when misconceptions are likely to arise in the lesson, teachers can plan to use strategies, such as </w:t>
            </w:r>
            <w:hyperlink r:id="rId30"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p w14:paraId="34D3E2E3" w14:textId="3D19F717" w:rsidR="00841A5D" w:rsidRDefault="0015111B" w:rsidP="0015111B">
            <w:pPr>
              <w:pStyle w:val="NormalWeb"/>
              <w:numPr>
                <w:ilvl w:val="0"/>
                <w:numId w:val="36"/>
              </w:numPr>
              <w:tabs>
                <w:tab w:val="clear" w:pos="720"/>
              </w:tabs>
              <w:spacing w:before="0" w:beforeAutospacing="0" w:after="200" w:afterAutospacing="0"/>
              <w:ind w:left="342" w:right="360" w:hanging="342"/>
              <w:textAlignment w:val="baseline"/>
            </w:pPr>
            <w:r>
              <w:rPr>
                <w:rFonts w:ascii="Calibri" w:hAnsi="Calibri" w:cs="Calibri"/>
                <w:b/>
                <w:bCs/>
                <w:color w:val="000000"/>
                <w:sz w:val="22"/>
                <w:szCs w:val="22"/>
              </w:rPr>
              <w:lastRenderedPageBreak/>
              <w:t>Have students routinely evaluate how well they worked together with the group</w:t>
            </w:r>
            <w:r>
              <w:rPr>
                <w:rFonts w:ascii="Calibri" w:hAnsi="Calibri" w:cs="Calibri"/>
                <w:color w:val="000000"/>
                <w:sz w:val="22"/>
                <w:szCs w:val="22"/>
              </w:rPr>
              <w:t>. Whether it is having students give feedback to one another or rate their group work using a rubric, it is important for students to identify their strengths in collaboration as well as weaknesses. For example, students use their understanding of attributes to sort objects in different ways. They justify their rules for sorting, listen to the ideas of others and when they are unsure or disagree, they question or challenge the observations (MP.3).</w:t>
            </w:r>
          </w:p>
        </w:tc>
      </w:tr>
    </w:tbl>
    <w:p w14:paraId="14826A66" w14:textId="2B5BDC4D" w:rsidR="00841A5D" w:rsidRDefault="00841A5D" w:rsidP="0015111B">
      <w:pPr>
        <w:spacing w:after="0"/>
      </w:pPr>
    </w:p>
    <w:tbl>
      <w:tblPr>
        <w:tblStyle w:val="TableGrid"/>
        <w:tblW w:w="0" w:type="auto"/>
        <w:tblLook w:val="04A0" w:firstRow="1" w:lastRow="0" w:firstColumn="1" w:lastColumn="0" w:noHBand="0" w:noVBand="1"/>
      </w:tblPr>
      <w:tblGrid>
        <w:gridCol w:w="14390"/>
      </w:tblGrid>
      <w:tr w:rsidR="0015111B" w14:paraId="2BFEE63F" w14:textId="77777777" w:rsidTr="00F223BB">
        <w:tc>
          <w:tcPr>
            <w:tcW w:w="14390" w:type="dxa"/>
            <w:shd w:val="clear" w:color="auto" w:fill="EDEDED" w:themeFill="accent3" w:themeFillTint="33"/>
          </w:tcPr>
          <w:p w14:paraId="6D6D30C2" w14:textId="77777777" w:rsidR="00F223BB" w:rsidRDefault="00F223BB" w:rsidP="00F223BB">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10F4727F" w14:textId="77777777" w:rsidR="00F223BB" w:rsidRDefault="00F223BB" w:rsidP="00F223BB">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0CD93AE5" w14:textId="77777777" w:rsidR="00F223BB" w:rsidRDefault="00F223BB" w:rsidP="00F223BB">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31"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proofErr w:type="gramStart"/>
            <w:r>
              <w:rPr>
                <w:rFonts w:ascii="Calibri" w:hAnsi="Calibri" w:cs="Calibri"/>
                <w:color w:val="000000"/>
                <w:sz w:val="22"/>
                <w:szCs w:val="22"/>
              </w:rPr>
              <w:t>have an understanding of</w:t>
            </w:r>
            <w:proofErr w:type="gramEnd"/>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04B524FB" w14:textId="77777777" w:rsidR="00F223BB" w:rsidRDefault="00F223BB" w:rsidP="00F223BB">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32"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34587718" w14:textId="77777777" w:rsidR="00F223BB" w:rsidRDefault="00F223BB" w:rsidP="00F223BB">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40DD9941" w14:textId="77777777" w:rsidR="00F223BB" w:rsidRDefault="00F223BB" w:rsidP="00F223BB">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104D1BAC" w14:textId="77777777" w:rsidR="00F223BB" w:rsidRDefault="00F223BB" w:rsidP="00F223BB">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792B4CC7" w14:textId="77777777" w:rsidR="00F223BB" w:rsidRDefault="00F223BB" w:rsidP="00F223BB">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33"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122EE474" w14:textId="1C7E6DF7" w:rsidR="0015111B" w:rsidRPr="00F223BB" w:rsidRDefault="00F223BB" w:rsidP="00F223BB">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7E1F39B4" w14:textId="357DE08A" w:rsidR="0015111B" w:rsidRDefault="0015111B" w:rsidP="00F223BB">
      <w:pPr>
        <w:spacing w:after="0"/>
      </w:pPr>
    </w:p>
    <w:tbl>
      <w:tblPr>
        <w:tblStyle w:val="TableGrid"/>
        <w:tblW w:w="0" w:type="auto"/>
        <w:tblLook w:val="04A0" w:firstRow="1" w:lastRow="0" w:firstColumn="1" w:lastColumn="0" w:noHBand="0" w:noVBand="1"/>
      </w:tblPr>
      <w:tblGrid>
        <w:gridCol w:w="14390"/>
      </w:tblGrid>
      <w:tr w:rsidR="00F223BB" w14:paraId="43F4E01B" w14:textId="77777777" w:rsidTr="00C0500A">
        <w:tc>
          <w:tcPr>
            <w:tcW w:w="14390" w:type="dxa"/>
            <w:shd w:val="clear" w:color="auto" w:fill="D9E2F3" w:themeFill="accent1" w:themeFillTint="33"/>
          </w:tcPr>
          <w:p w14:paraId="4B94A64B" w14:textId="77777777" w:rsidR="00C0500A" w:rsidRPr="00C0500A" w:rsidRDefault="00C0500A" w:rsidP="00C0500A">
            <w:pPr>
              <w:spacing w:line="276" w:lineRule="auto"/>
              <w:ind w:right="84"/>
              <w:rPr>
                <w:rFonts w:ascii="Times New Roman" w:eastAsia="Times New Roman" w:hAnsi="Times New Roman" w:cs="Times New Roman"/>
                <w:sz w:val="24"/>
                <w:szCs w:val="24"/>
              </w:rPr>
            </w:pPr>
            <w:r w:rsidRPr="00C0500A">
              <w:rPr>
                <w:rFonts w:ascii="Calibri" w:eastAsia="Times New Roman" w:hAnsi="Calibri" w:cs="Calibri"/>
                <w:color w:val="000000"/>
                <w:sz w:val="24"/>
                <w:szCs w:val="24"/>
              </w:rPr>
              <w:t xml:space="preserve">Questions to foster </w:t>
            </w:r>
            <w:r w:rsidRPr="00C0500A">
              <w:rPr>
                <w:rFonts w:ascii="Calibri" w:eastAsia="Times New Roman" w:hAnsi="Calibri" w:cs="Calibri"/>
                <w:b/>
                <w:bCs/>
                <w:color w:val="000000"/>
                <w:sz w:val="24"/>
                <w:szCs w:val="24"/>
              </w:rPr>
              <w:t xml:space="preserve">relationship skills </w:t>
            </w:r>
            <w:r w:rsidRPr="00C0500A">
              <w:rPr>
                <w:rFonts w:ascii="Calibri" w:eastAsia="Times New Roman" w:hAnsi="Calibri" w:cs="Calibri"/>
                <w:color w:val="000000"/>
                <w:sz w:val="24"/>
                <w:szCs w:val="24"/>
              </w:rPr>
              <w:t>in students:</w:t>
            </w:r>
          </w:p>
          <w:p w14:paraId="20BC6B7E" w14:textId="77777777" w:rsidR="00C0500A" w:rsidRPr="00C0500A" w:rsidRDefault="00C0500A" w:rsidP="00C0500A">
            <w:pPr>
              <w:numPr>
                <w:ilvl w:val="0"/>
                <w:numId w:val="38"/>
              </w:numPr>
              <w:spacing w:line="276" w:lineRule="auto"/>
              <w:ind w:left="360" w:right="84"/>
              <w:textAlignment w:val="baseline"/>
              <w:rPr>
                <w:rFonts w:ascii="Calibri" w:eastAsia="Times New Roman" w:hAnsi="Calibri" w:cs="Calibri"/>
                <w:color w:val="000000"/>
              </w:rPr>
            </w:pPr>
            <w:r w:rsidRPr="00C0500A">
              <w:rPr>
                <w:rFonts w:ascii="Calibri" w:eastAsia="Times New Roman" w:hAnsi="Calibri" w:cs="Calibri"/>
                <w:color w:val="000000"/>
              </w:rPr>
              <w:t>Compare your answer to ___’s answer. </w:t>
            </w:r>
          </w:p>
          <w:p w14:paraId="777493A4" w14:textId="77777777" w:rsidR="00C0500A" w:rsidRPr="00C0500A" w:rsidRDefault="00C0500A" w:rsidP="00C0500A">
            <w:pPr>
              <w:numPr>
                <w:ilvl w:val="0"/>
                <w:numId w:val="38"/>
              </w:numPr>
              <w:spacing w:line="276" w:lineRule="auto"/>
              <w:ind w:left="360" w:right="84"/>
              <w:textAlignment w:val="baseline"/>
              <w:rPr>
                <w:rFonts w:ascii="Calibri" w:eastAsia="Times New Roman" w:hAnsi="Calibri" w:cs="Calibri"/>
                <w:color w:val="000000"/>
              </w:rPr>
            </w:pPr>
            <w:r w:rsidRPr="00C0500A">
              <w:rPr>
                <w:rFonts w:ascii="Calibri" w:eastAsia="Times New Roman" w:hAnsi="Calibri" w:cs="Calibri"/>
                <w:color w:val="000000"/>
              </w:rPr>
              <w:t>What questions do you have for ___?</w:t>
            </w:r>
          </w:p>
          <w:p w14:paraId="053456DC" w14:textId="18291074" w:rsidR="00F223BB" w:rsidRPr="00C0500A" w:rsidRDefault="00C0500A" w:rsidP="00C0500A">
            <w:pPr>
              <w:numPr>
                <w:ilvl w:val="0"/>
                <w:numId w:val="38"/>
              </w:numPr>
              <w:spacing w:line="276" w:lineRule="auto"/>
              <w:ind w:left="360" w:right="84"/>
              <w:textAlignment w:val="baseline"/>
              <w:rPr>
                <w:rFonts w:ascii="Calibri" w:eastAsia="Times New Roman" w:hAnsi="Calibri" w:cs="Calibri"/>
                <w:color w:val="000000"/>
              </w:rPr>
            </w:pPr>
            <w:r w:rsidRPr="00C0500A">
              <w:rPr>
                <w:rFonts w:ascii="Calibri" w:eastAsia="Times New Roman" w:hAnsi="Calibri" w:cs="Calibri"/>
                <w:color w:val="000000"/>
              </w:rPr>
              <w:t xml:space="preserve">Can you explain that? </w:t>
            </w:r>
          </w:p>
        </w:tc>
      </w:tr>
    </w:tbl>
    <w:p w14:paraId="391BE38D" w14:textId="77777777" w:rsidR="00F223BB" w:rsidRDefault="00F223BB" w:rsidP="00DD77BE"/>
    <w:p w14:paraId="060ADF66" w14:textId="7FC67273" w:rsidR="00CB214C" w:rsidRDefault="00CB214C">
      <w:r>
        <w:br w:type="page"/>
      </w:r>
    </w:p>
    <w:p w14:paraId="533D1346" w14:textId="77777777" w:rsidR="00504256" w:rsidRDefault="00504256" w:rsidP="00504256">
      <w:pPr>
        <w:pStyle w:val="Heading2"/>
        <w:spacing w:before="0" w:after="240"/>
        <w:jc w:val="center"/>
      </w:pPr>
      <w:r>
        <w:rPr>
          <w:rFonts w:ascii="Calibri" w:hAnsi="Calibri" w:cs="Calibri"/>
          <w:color w:val="000000"/>
          <w:sz w:val="28"/>
          <w:szCs w:val="28"/>
          <w:u w:val="single"/>
        </w:rPr>
        <w:lastRenderedPageBreak/>
        <w:t>Kindergarten: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635217A2">
        <w:trPr>
          <w:trHeight w:val="5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D36"/>
            <w:tcMar>
              <w:top w:w="100" w:type="dxa"/>
              <w:left w:w="100" w:type="dxa"/>
              <w:bottom w:w="100" w:type="dxa"/>
              <w:right w:w="100" w:type="dxa"/>
            </w:tcMar>
            <w:hideMark/>
          </w:tcPr>
          <w:p w14:paraId="3EE1D328" w14:textId="77777777" w:rsidR="00B35A8A" w:rsidRDefault="00B35A8A">
            <w:pPr>
              <w:pStyle w:val="Heading3"/>
              <w:spacing w:before="8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2C32206F" w:rsidR="00B35A8A" w:rsidRDefault="6229167B" w:rsidP="635217A2">
            <w:pPr>
              <w:pStyle w:val="NormalWeb"/>
              <w:spacing w:before="0" w:beforeAutospacing="0" w:after="0" w:afterAutospacing="0"/>
            </w:pPr>
            <w:r w:rsidRPr="635217A2">
              <w:rPr>
                <w:rFonts w:ascii="Calibri" w:hAnsi="Calibri" w:cs="Calibri"/>
                <w:color w:val="000000" w:themeColor="text1"/>
              </w:rPr>
              <w:t xml:space="preserve">• Anticipating &amp; evaluating the consequences of one’s </w:t>
            </w:r>
            <w:r w:rsidR="2B8AB6F1" w:rsidRPr="635217A2">
              <w:rPr>
                <w:rFonts w:ascii="Calibri" w:hAnsi="Calibri" w:cs="Calibri"/>
                <w:color w:val="000000" w:themeColor="text1"/>
              </w:rPr>
              <w:t>actions  •</w:t>
            </w:r>
            <w:r w:rsidRPr="635217A2">
              <w:rPr>
                <w:rFonts w:ascii="Calibri" w:hAnsi="Calibri" w:cs="Calibri"/>
                <w:color w:val="000000" w:themeColor="text1"/>
              </w:rPr>
              <w:t xml:space="preserve">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635217A2">
        <w:tc>
          <w:tcPr>
            <w:tcW w:w="14390" w:type="dxa"/>
          </w:tcPr>
          <w:p w14:paraId="086E9C73" w14:textId="77777777" w:rsidR="00737134" w:rsidRDefault="373D61FC" w:rsidP="635217A2">
            <w:pPr>
              <w:pStyle w:val="NormalWeb"/>
              <w:spacing w:before="0" w:beforeAutospacing="0" w:after="0" w:afterAutospacing="0"/>
            </w:pPr>
            <w:r w:rsidRPr="635217A2">
              <w:rPr>
                <w:rFonts w:ascii="Calibri" w:hAnsi="Calibri" w:cs="Calibri"/>
                <w:color w:val="000000" w:themeColor="text1"/>
              </w:rPr>
              <w:t xml:space="preserve">Considerations when designing mathematics instruction that fosters </w:t>
            </w:r>
            <w:r w:rsidRPr="635217A2">
              <w:rPr>
                <w:rFonts w:ascii="Calibri" w:hAnsi="Calibri" w:cs="Calibri"/>
                <w:b/>
                <w:bCs/>
                <w:color w:val="000000" w:themeColor="text1"/>
              </w:rPr>
              <w:t>responsible decision making:</w:t>
            </w:r>
          </w:p>
          <w:p w14:paraId="4EF71398" w14:textId="00A3B1F3" w:rsidR="635217A2" w:rsidRDefault="635217A2" w:rsidP="635217A2">
            <w:pPr>
              <w:pStyle w:val="NormalWeb"/>
              <w:spacing w:before="0" w:beforeAutospacing="0" w:after="0" w:afterAutospacing="0"/>
              <w:rPr>
                <w:rFonts w:ascii="Calibri" w:hAnsi="Calibri" w:cs="Calibri"/>
                <w:b/>
                <w:bCs/>
                <w:color w:val="000000" w:themeColor="text1"/>
              </w:rPr>
            </w:pPr>
          </w:p>
          <w:p w14:paraId="16749470" w14:textId="21C407ED" w:rsidR="00737134" w:rsidRDefault="373D61FC" w:rsidP="635217A2">
            <w:pPr>
              <w:pStyle w:val="NormalWeb"/>
              <w:numPr>
                <w:ilvl w:val="0"/>
                <w:numId w:val="39"/>
              </w:numPr>
              <w:tabs>
                <w:tab w:val="clear" w:pos="720"/>
                <w:tab w:val="num" w:pos="360"/>
              </w:tabs>
              <w:spacing w:before="0" w:beforeAutospacing="0" w:after="200" w:afterAutospacing="0"/>
              <w:ind w:left="342" w:right="84" w:hanging="342"/>
              <w:textAlignment w:val="baseline"/>
              <w:rPr>
                <w:rFonts w:ascii="Calibri" w:hAnsi="Calibri" w:cs="Calibri"/>
                <w:b/>
                <w:bCs/>
                <w:color w:val="000000"/>
                <w:sz w:val="22"/>
                <w:szCs w:val="22"/>
              </w:rPr>
            </w:pPr>
            <w:r w:rsidRPr="635217A2">
              <w:rPr>
                <w:rFonts w:ascii="Calibri" w:hAnsi="Calibri" w:cs="Calibri"/>
                <w:b/>
                <w:bCs/>
                <w:color w:val="000000" w:themeColor="text1"/>
                <w:sz w:val="22"/>
                <w:szCs w:val="22"/>
              </w:rPr>
              <w:t xml:space="preserve">Provide opportunities for students to make responsible decisions after analyzing information. </w:t>
            </w:r>
            <w:r w:rsidRPr="635217A2">
              <w:rPr>
                <w:rFonts w:ascii="Calibri" w:hAnsi="Calibri" w:cs="Calibri"/>
                <w:color w:val="000000" w:themeColor="text1"/>
                <w:sz w:val="22"/>
                <w:szCs w:val="22"/>
              </w:rPr>
              <w:t xml:space="preserve">Give students problem </w:t>
            </w:r>
            <w:r w:rsidR="0C380A37" w:rsidRPr="635217A2">
              <w:rPr>
                <w:rFonts w:ascii="Calibri" w:hAnsi="Calibri" w:cs="Calibri"/>
                <w:color w:val="000000" w:themeColor="text1"/>
                <w:sz w:val="22"/>
                <w:szCs w:val="22"/>
              </w:rPr>
              <w:t>scenarios and</w:t>
            </w:r>
            <w:r w:rsidRPr="635217A2">
              <w:rPr>
                <w:rFonts w:ascii="Calibri" w:hAnsi="Calibri" w:cs="Calibri"/>
                <w:color w:val="000000" w:themeColor="text1"/>
                <w:sz w:val="22"/>
                <w:szCs w:val="22"/>
              </w:rPr>
              <w:t xml:space="preserve"> ask them to work in pairs/groups to decide what they would do. Students may benefit from using think-aloud strategies (or hearing the strategies others use) as they make sense of problems and persevere in solving them (MP.1). Providing opportunities for student discourse, whether during small group or whole class instruction, also will help build mathematical vocabulary. For example, in the </w:t>
            </w:r>
            <w:hyperlink r:id="rId34" w:anchor="page=24">
              <w:r w:rsidRPr="635217A2">
                <w:rPr>
                  <w:rStyle w:val="Hyperlink"/>
                  <w:rFonts w:ascii="Calibri" w:hAnsi="Calibri" w:cs="Calibri"/>
                  <w:color w:val="1155CC"/>
                  <w:sz w:val="22"/>
                  <w:szCs w:val="22"/>
                </w:rPr>
                <w:t>Measurement and Data, Cluster: Describe and compare measurable attributes</w:t>
              </w:r>
            </w:hyperlink>
            <w:r w:rsidRPr="635217A2">
              <w:rPr>
                <w:rFonts w:ascii="Calibri" w:hAnsi="Calibri" w:cs="Calibri"/>
                <w:color w:val="000000" w:themeColor="text1"/>
                <w:sz w:val="22"/>
                <w:szCs w:val="22"/>
              </w:rPr>
              <w:t>, students notice objects in the world around them have attributes, and some of those attributes are measurable attributes. They describe measurable attributes using measuring language, such as “heavy” and/or “long/short” (MP.3, MP.6). As students compare objects, they focus on a selected attribute, for example, length, and then determine which object has more or less of that attribute, saying, this footprint is longer (MP.2).</w:t>
            </w:r>
          </w:p>
          <w:p w14:paraId="0BA3D0F1" w14:textId="7417EEDA" w:rsidR="00737134" w:rsidRPr="00737134" w:rsidRDefault="373D61FC" w:rsidP="635217A2">
            <w:pPr>
              <w:pStyle w:val="NormalWeb"/>
              <w:numPr>
                <w:ilvl w:val="0"/>
                <w:numId w:val="39"/>
              </w:numPr>
              <w:tabs>
                <w:tab w:val="clear" w:pos="720"/>
                <w:tab w:val="num" w:pos="360"/>
              </w:tabs>
              <w:spacing w:before="0" w:beforeAutospacing="0" w:after="200" w:afterAutospacing="0"/>
              <w:ind w:left="342" w:right="84" w:hanging="342"/>
              <w:textAlignment w:val="baseline"/>
            </w:pPr>
            <w:r>
              <w:rPr>
                <w:rFonts w:ascii="Calibri" w:hAnsi="Calibri" w:cs="Calibri"/>
                <w:b/>
                <w:bCs/>
                <w:color w:val="000000"/>
                <w:sz w:val="22"/>
                <w:szCs w:val="22"/>
              </w:rPr>
              <w:t>Model good decision-making.</w:t>
            </w:r>
            <w:r>
              <w:rPr>
                <w:rFonts w:ascii="Calibri" w:hAnsi="Calibri" w:cs="Calibri"/>
                <w:color w:val="000000"/>
                <w:sz w:val="22"/>
                <w:szCs w:val="22"/>
              </w:rPr>
              <w:t xml:space="preserve"> </w:t>
            </w:r>
            <w:r>
              <w:rPr>
                <w:rFonts w:ascii="Calibri" w:hAnsi="Calibri" w:cs="Calibri"/>
                <w:color w:val="000000"/>
                <w:sz w:val="22"/>
                <w:szCs w:val="22"/>
                <w:shd w:val="clear" w:color="auto" w:fill="FFFFFF"/>
              </w:rPr>
              <w:t xml:space="preserve">Establish classroom discussion norms that support facilitating discourse among students to build a shared understanding of mathematical ideas by analyzing and comparing student approaches and arguments (NCTM, 2014). Making intentional choices about the language used when modeling “think aloud” strategies can be </w:t>
            </w:r>
            <w:r w:rsidR="1A953DC2">
              <w:rPr>
                <w:rFonts w:ascii="Calibri" w:hAnsi="Calibri" w:cs="Calibri"/>
                <w:color w:val="000000"/>
                <w:sz w:val="22"/>
                <w:szCs w:val="22"/>
                <w:shd w:val="clear" w:color="auto" w:fill="FFFFFF"/>
              </w:rPr>
              <w:t>impactful</w:t>
            </w:r>
            <w:r>
              <w:rPr>
                <w:rFonts w:ascii="Calibri" w:hAnsi="Calibri" w:cs="Calibri"/>
                <w:color w:val="000000"/>
                <w:sz w:val="22"/>
                <w:szCs w:val="22"/>
                <w:shd w:val="clear" w:color="auto" w:fill="FFFFFF"/>
              </w:rPr>
              <w:t>.</w:t>
            </w:r>
            <w:r>
              <w:rPr>
                <w:rFonts w:ascii="Arial" w:hAnsi="Arial" w:cs="Arial"/>
                <w:color w:val="000000"/>
                <w:sz w:val="22"/>
                <w:szCs w:val="22"/>
                <w:shd w:val="clear" w:color="auto" w:fill="FFFFFF"/>
              </w:rPr>
              <w:t xml:space="preserve"> </w:t>
            </w:r>
            <w:r>
              <w:rPr>
                <w:rFonts w:ascii="Calibri" w:hAnsi="Calibri" w:cs="Calibri"/>
                <w:color w:val="000000"/>
                <w:sz w:val="22"/>
                <w:szCs w:val="22"/>
              </w:rPr>
              <w:t xml:space="preserve">Provide opportunities for students to solve problems that have multiple solutions. For example, in </w:t>
            </w:r>
            <w:hyperlink r:id="rId35" w:anchor="page=22" w:history="1">
              <w:r>
                <w:rPr>
                  <w:rStyle w:val="Hyperlink"/>
                  <w:rFonts w:ascii="Calibri" w:hAnsi="Calibri" w:cs="Calibri"/>
                  <w:color w:val="1155CC"/>
                  <w:sz w:val="22"/>
                  <w:szCs w:val="22"/>
                </w:rPr>
                <w:t xml:space="preserve">Operations and Algebraic Thinking, Cluster: </w:t>
              </w:r>
              <w:r>
                <w:rPr>
                  <w:rStyle w:val="Hyperlink"/>
                  <w:rFonts w:ascii="Calibri" w:hAnsi="Calibri" w:cs="Calibri"/>
                  <w:color w:val="1155CC"/>
                  <w:sz w:val="22"/>
                  <w:szCs w:val="22"/>
                  <w:shd w:val="clear" w:color="auto" w:fill="FFFFFF"/>
                </w:rPr>
                <w:t>Understand addition as putting together and adding to, and understand subtraction as taking apart and taking from</w:t>
              </w:r>
            </w:hyperlink>
            <w:r>
              <w:rPr>
                <w:rFonts w:ascii="Calibri" w:hAnsi="Calibri" w:cs="Calibri"/>
                <w:color w:val="3C4043"/>
                <w:sz w:val="22"/>
                <w:szCs w:val="22"/>
                <w:shd w:val="clear" w:color="auto" w:fill="FFFFFF"/>
              </w:rPr>
              <w:t xml:space="preserve">, </w:t>
            </w:r>
            <w:r>
              <w:rPr>
                <w:rFonts w:ascii="Calibri" w:hAnsi="Calibri" w:cs="Calibri"/>
                <w:color w:val="000000"/>
                <w:sz w:val="22"/>
                <w:szCs w:val="22"/>
              </w:rPr>
              <w:t>students use tools and models to interpret, represent and solve word problems. They make sense of addition and subtraction situations by selecting objects to represent the situation and represent the situations using an expression or equations (MP.1).</w:t>
            </w:r>
          </w:p>
          <w:p w14:paraId="5642D077" w14:textId="1CDE02DE" w:rsidR="000C0DC6" w:rsidRDefault="373D61FC" w:rsidP="635217A2">
            <w:pPr>
              <w:pStyle w:val="NormalWeb"/>
              <w:numPr>
                <w:ilvl w:val="0"/>
                <w:numId w:val="39"/>
              </w:numPr>
              <w:tabs>
                <w:tab w:val="clear" w:pos="720"/>
                <w:tab w:val="num" w:pos="360"/>
              </w:tabs>
              <w:spacing w:before="0" w:beforeAutospacing="0" w:after="0" w:afterAutospacing="0"/>
              <w:ind w:left="342" w:right="84" w:hanging="342"/>
              <w:textAlignment w:val="baseline"/>
            </w:pPr>
            <w:r>
              <w:rPr>
                <w:rFonts w:ascii="Calibri" w:hAnsi="Calibri" w:cs="Calibri"/>
                <w:b/>
                <w:bCs/>
                <w:color w:val="3C4043"/>
                <w:sz w:val="22"/>
                <w:szCs w:val="22"/>
                <w:shd w:val="clear" w:color="auto" w:fill="FFFFFF"/>
              </w:rPr>
              <w:t xml:space="preserve">Engage students in learning where they develop voice and perspective to </w:t>
            </w:r>
            <w:r w:rsidR="0925860D">
              <w:rPr>
                <w:rFonts w:ascii="Calibri" w:hAnsi="Calibri" w:cs="Calibri"/>
                <w:b/>
                <w:bCs/>
                <w:color w:val="3C4043"/>
                <w:sz w:val="22"/>
                <w:szCs w:val="22"/>
                <w:shd w:val="clear" w:color="auto" w:fill="FFFFFF"/>
              </w:rPr>
              <w:t>participate in the local context more fully</w:t>
            </w:r>
            <w:r>
              <w:rPr>
                <w:rFonts w:ascii="Calibri" w:hAnsi="Calibri" w:cs="Calibri"/>
                <w:b/>
                <w:bCs/>
                <w:color w:val="3C4043"/>
                <w:sz w:val="22"/>
                <w:szCs w:val="22"/>
                <w:shd w:val="clear" w:color="auto" w:fill="FFFFFF"/>
              </w:rPr>
              <w:t xml:space="preserve">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36"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5-10 minute classroom discussions to help students develop data literacy. Utilizing </w:t>
            </w:r>
            <w:hyperlink r:id="rId37"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38"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xml:space="preserve">, can be a powerful tool in creating curiosity, offering multiple entry points to a discussion on data and eliciting profound </w:t>
            </w:r>
            <w:proofErr w:type="spellStart"/>
            <w:r>
              <w:rPr>
                <w:rFonts w:ascii="Calibri" w:hAnsi="Calibri" w:cs="Calibri"/>
                <w:color w:val="000000"/>
                <w:sz w:val="22"/>
                <w:szCs w:val="22"/>
                <w:shd w:val="clear" w:color="auto" w:fill="FFFFFF"/>
              </w:rPr>
              <w:t>noticings</w:t>
            </w:r>
            <w:proofErr w:type="spellEnd"/>
            <w:r>
              <w:rPr>
                <w:rFonts w:ascii="Calibri" w:hAnsi="Calibri" w:cs="Calibri"/>
                <w:color w:val="000000"/>
                <w:sz w:val="22"/>
                <w:szCs w:val="22"/>
                <w:shd w:val="clear" w:color="auto" w:fill="FFFFFF"/>
              </w:rPr>
              <w:t xml:space="preserve"> from students. When </w:t>
            </w:r>
            <w:r>
              <w:rPr>
                <w:rFonts w:ascii="Calibri" w:hAnsi="Calibri" w:cs="Calibri"/>
                <w:color w:val="000000"/>
                <w:sz w:val="22"/>
                <w:szCs w:val="22"/>
              </w:rPr>
              <w:t xml:space="preserve">learning to make a </w:t>
            </w:r>
            <w:r>
              <w:rPr>
                <w:rFonts w:ascii="Calibri" w:hAnsi="Calibri" w:cs="Calibri"/>
                <w:color w:val="000000"/>
                <w:sz w:val="22"/>
                <w:szCs w:val="22"/>
              </w:rPr>
              <w:lastRenderedPageBreak/>
              <w:t xml:space="preserve">reasoned judgment after analyzing information, data, facts,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w:t>
            </w:r>
          </w:p>
        </w:tc>
      </w:tr>
    </w:tbl>
    <w:p w14:paraId="362D3552" w14:textId="023A7B34" w:rsidR="000C0DC6" w:rsidRDefault="000C0DC6" w:rsidP="00DD77BE"/>
    <w:tbl>
      <w:tblPr>
        <w:tblStyle w:val="TableGrid"/>
        <w:tblW w:w="0" w:type="auto"/>
        <w:tblLook w:val="04A0" w:firstRow="1" w:lastRow="0" w:firstColumn="1" w:lastColumn="0" w:noHBand="0" w:noVBand="1"/>
      </w:tblPr>
      <w:tblGrid>
        <w:gridCol w:w="14390"/>
      </w:tblGrid>
      <w:tr w:rsidR="00737134" w14:paraId="3D798E93" w14:textId="77777777" w:rsidTr="001048EC">
        <w:tc>
          <w:tcPr>
            <w:tcW w:w="14390" w:type="dxa"/>
            <w:shd w:val="clear" w:color="auto" w:fill="EDEDED" w:themeFill="accent3" w:themeFillTint="33"/>
          </w:tcPr>
          <w:p w14:paraId="43A362C9" w14:textId="77777777" w:rsidR="001048EC" w:rsidRDefault="001048EC" w:rsidP="001048EC">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6E119DDF" w14:textId="77777777" w:rsidR="001048EC" w:rsidRDefault="001048EC" w:rsidP="001048EC">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34E26095" w14:textId="77777777" w:rsidR="001048EC" w:rsidRDefault="001048EC" w:rsidP="001048EC">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39"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6BA0159C" w14:textId="77777777" w:rsidR="001048EC" w:rsidRDefault="001048EC" w:rsidP="001048EC">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11CD8310" w14:textId="77777777" w:rsidR="001048EC" w:rsidRPr="001048EC" w:rsidRDefault="001048EC" w:rsidP="001048EC">
            <w:pPr>
              <w:pStyle w:val="NormalWeb"/>
              <w:numPr>
                <w:ilvl w:val="0"/>
                <w:numId w:val="40"/>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50F7620E" w14:textId="293C852B" w:rsidR="00737134" w:rsidRDefault="001048EC" w:rsidP="001048EC">
            <w:pPr>
              <w:pStyle w:val="NormalWeb"/>
              <w:numPr>
                <w:ilvl w:val="0"/>
                <w:numId w:val="40"/>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40"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18951C49" w14:textId="53385568" w:rsidR="00737134" w:rsidRDefault="00737134" w:rsidP="001048EC">
      <w:pPr>
        <w:spacing w:after="0"/>
      </w:pPr>
    </w:p>
    <w:tbl>
      <w:tblPr>
        <w:tblStyle w:val="TableGrid"/>
        <w:tblW w:w="0" w:type="auto"/>
        <w:tblLook w:val="04A0" w:firstRow="1" w:lastRow="0" w:firstColumn="1" w:lastColumn="0" w:noHBand="0" w:noVBand="1"/>
      </w:tblPr>
      <w:tblGrid>
        <w:gridCol w:w="14390"/>
      </w:tblGrid>
      <w:tr w:rsidR="001048EC" w14:paraId="15096923" w14:textId="77777777" w:rsidTr="0085277E">
        <w:tc>
          <w:tcPr>
            <w:tcW w:w="14390" w:type="dxa"/>
            <w:shd w:val="clear" w:color="auto" w:fill="D9E2F3" w:themeFill="accent1" w:themeFillTint="33"/>
          </w:tcPr>
          <w:p w14:paraId="095C6EE1" w14:textId="77777777" w:rsidR="0085277E" w:rsidRPr="0085277E" w:rsidRDefault="0085277E" w:rsidP="0085277E">
            <w:pPr>
              <w:spacing w:line="276" w:lineRule="auto"/>
              <w:ind w:right="84"/>
              <w:rPr>
                <w:rFonts w:ascii="Times New Roman" w:eastAsia="Times New Roman" w:hAnsi="Times New Roman" w:cs="Times New Roman"/>
                <w:sz w:val="24"/>
                <w:szCs w:val="24"/>
              </w:rPr>
            </w:pPr>
            <w:r w:rsidRPr="0085277E">
              <w:rPr>
                <w:rFonts w:ascii="Calibri" w:eastAsia="Times New Roman" w:hAnsi="Calibri" w:cs="Calibri"/>
                <w:color w:val="000000"/>
                <w:sz w:val="24"/>
                <w:szCs w:val="24"/>
              </w:rPr>
              <w:t xml:space="preserve">Questions to foster </w:t>
            </w:r>
            <w:r w:rsidRPr="0085277E">
              <w:rPr>
                <w:rFonts w:ascii="Calibri" w:eastAsia="Times New Roman" w:hAnsi="Calibri" w:cs="Calibri"/>
                <w:b/>
                <w:bCs/>
                <w:color w:val="000000"/>
                <w:sz w:val="24"/>
                <w:szCs w:val="24"/>
              </w:rPr>
              <w:t xml:space="preserve">responsible decision making </w:t>
            </w:r>
            <w:r w:rsidRPr="0085277E">
              <w:rPr>
                <w:rFonts w:ascii="Calibri" w:eastAsia="Times New Roman" w:hAnsi="Calibri" w:cs="Calibri"/>
                <w:color w:val="000000"/>
                <w:sz w:val="24"/>
                <w:szCs w:val="24"/>
              </w:rPr>
              <w:t>in students:</w:t>
            </w:r>
          </w:p>
          <w:p w14:paraId="3A166244" w14:textId="77777777" w:rsidR="0085277E" w:rsidRPr="0085277E" w:rsidRDefault="0085277E" w:rsidP="0085277E">
            <w:pPr>
              <w:numPr>
                <w:ilvl w:val="0"/>
                <w:numId w:val="41"/>
              </w:numPr>
              <w:spacing w:line="276" w:lineRule="auto"/>
              <w:ind w:left="360" w:right="84"/>
              <w:textAlignment w:val="baseline"/>
              <w:rPr>
                <w:rFonts w:ascii="Calibri" w:eastAsia="Times New Roman" w:hAnsi="Calibri" w:cs="Calibri"/>
                <w:color w:val="000000"/>
              </w:rPr>
            </w:pPr>
            <w:r w:rsidRPr="0085277E">
              <w:rPr>
                <w:rFonts w:ascii="Calibri" w:eastAsia="Times New Roman" w:hAnsi="Calibri" w:cs="Calibri"/>
                <w:color w:val="000000"/>
              </w:rPr>
              <w:t>What information do you have? </w:t>
            </w:r>
          </w:p>
          <w:p w14:paraId="07C48AD8" w14:textId="77777777" w:rsidR="0085277E" w:rsidRPr="0085277E" w:rsidRDefault="0085277E" w:rsidP="0085277E">
            <w:pPr>
              <w:numPr>
                <w:ilvl w:val="0"/>
                <w:numId w:val="41"/>
              </w:numPr>
              <w:spacing w:line="276" w:lineRule="auto"/>
              <w:ind w:left="360" w:right="84"/>
              <w:textAlignment w:val="baseline"/>
              <w:rPr>
                <w:rFonts w:ascii="Calibri" w:eastAsia="Times New Roman" w:hAnsi="Calibri" w:cs="Calibri"/>
                <w:color w:val="000000"/>
              </w:rPr>
            </w:pPr>
            <w:r w:rsidRPr="0085277E">
              <w:rPr>
                <w:rFonts w:ascii="Calibri" w:eastAsia="Times New Roman" w:hAnsi="Calibri" w:cs="Calibri"/>
                <w:color w:val="000000"/>
              </w:rPr>
              <w:t>What do you need to find out? </w:t>
            </w:r>
          </w:p>
          <w:p w14:paraId="66278440" w14:textId="1C8F3D7C" w:rsidR="001048EC" w:rsidRPr="0085277E" w:rsidRDefault="0085277E" w:rsidP="0085277E">
            <w:pPr>
              <w:numPr>
                <w:ilvl w:val="0"/>
                <w:numId w:val="41"/>
              </w:numPr>
              <w:spacing w:line="276" w:lineRule="auto"/>
              <w:ind w:left="360" w:right="84"/>
              <w:textAlignment w:val="baseline"/>
              <w:rPr>
                <w:rFonts w:ascii="Calibri" w:eastAsia="Times New Roman" w:hAnsi="Calibri" w:cs="Calibri"/>
                <w:color w:val="000000"/>
              </w:rPr>
            </w:pPr>
            <w:r w:rsidRPr="0085277E">
              <w:rPr>
                <w:rFonts w:ascii="Calibri" w:eastAsia="Times New Roman" w:hAnsi="Calibri" w:cs="Calibri"/>
                <w:color w:val="000000"/>
              </w:rPr>
              <w:t xml:space="preserve">Can you explain what you did to solve the problem? </w:t>
            </w:r>
          </w:p>
        </w:tc>
      </w:tr>
    </w:tbl>
    <w:p w14:paraId="4ED581F4" w14:textId="4725EB29" w:rsidR="0085277E" w:rsidRDefault="0085277E" w:rsidP="00830019">
      <w:pPr>
        <w:spacing w:before="240"/>
        <w:rPr>
          <w:rFonts w:ascii="Calibri" w:hAnsi="Calibri" w:cs="Calibri"/>
          <w:color w:val="000000"/>
        </w:rPr>
      </w:pPr>
      <w:r>
        <w:rPr>
          <w:rFonts w:ascii="Calibri" w:hAnsi="Calibri" w:cs="Calibri"/>
          <w:color w:val="000000"/>
        </w:rPr>
        <w:t xml:space="preserve">*For additional support integrating the Standards for Mathematical Practice access the </w:t>
      </w:r>
      <w:hyperlink r:id="rId41" w:history="1">
        <w:r>
          <w:rPr>
            <w:rStyle w:val="Hyperlink"/>
            <w:rFonts w:ascii="Calibri" w:hAnsi="Calibri" w:cs="Calibri"/>
            <w:color w:val="1155CC"/>
          </w:rPr>
          <w:t xml:space="preserve">Engaging the SMPs: Look </w:t>
        </w:r>
        <w:proofErr w:type="spellStart"/>
        <w:r>
          <w:rPr>
            <w:rStyle w:val="Hyperlink"/>
            <w:rFonts w:ascii="Calibri" w:hAnsi="Calibri" w:cs="Calibri"/>
            <w:color w:val="1155CC"/>
          </w:rPr>
          <w:t>fors</w:t>
        </w:r>
        <w:proofErr w:type="spellEnd"/>
        <w:r>
          <w:rPr>
            <w:rStyle w:val="Hyperlink"/>
            <w:rFonts w:ascii="Calibri" w:hAnsi="Calibri" w:cs="Calibri"/>
            <w:color w:val="1155CC"/>
          </w:rPr>
          <w:t xml:space="preserve"> and Question Stems</w:t>
        </w:r>
      </w:hyperlink>
      <w:r>
        <w:rPr>
          <w:rFonts w:ascii="Calibri" w:hAnsi="Calibri" w:cs="Calibri"/>
          <w:color w:val="000000"/>
        </w:rPr>
        <w:t xml:space="preserve"> resource.</w:t>
      </w:r>
    </w:p>
    <w:p w14:paraId="14BB6168" w14:textId="52A04A5B" w:rsidR="00830019" w:rsidRDefault="00830019">
      <w:pPr>
        <w:rPr>
          <w:rFonts w:ascii="Calibri" w:hAnsi="Calibri" w:cs="Calibri"/>
          <w:color w:val="000000"/>
        </w:rPr>
      </w:pPr>
      <w:r>
        <w:rPr>
          <w:rFonts w:ascii="Calibri" w:hAnsi="Calibri" w:cs="Calibri"/>
          <w:color w:val="000000"/>
        </w:rPr>
        <w:br w:type="page"/>
      </w:r>
    </w:p>
    <w:p w14:paraId="4A48750A" w14:textId="77777777" w:rsidR="00830019" w:rsidRDefault="00830019" w:rsidP="00830019">
      <w:pPr>
        <w:pStyle w:val="NormalWeb"/>
        <w:spacing w:before="5" w:beforeAutospacing="0" w:after="0" w:afterAutospacing="0"/>
        <w:jc w:val="center"/>
      </w:pPr>
      <w:r>
        <w:rPr>
          <w:rFonts w:ascii="Calibri" w:hAnsi="Calibri" w:cs="Calibri"/>
          <w:b/>
          <w:bCs/>
          <w:color w:val="000000"/>
          <w:sz w:val="28"/>
          <w:szCs w:val="28"/>
        </w:rPr>
        <w:lastRenderedPageBreak/>
        <w:t>References</w:t>
      </w:r>
    </w:p>
    <w:p w14:paraId="58BED42D"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American Institutes for Research, </w:t>
      </w:r>
      <w:proofErr w:type="spellStart"/>
      <w:r>
        <w:rPr>
          <w:rFonts w:ascii="Calibri" w:hAnsi="Calibri" w:cs="Calibri"/>
          <w:color w:val="000000"/>
        </w:rPr>
        <w:t>Kendziora</w:t>
      </w:r>
      <w:proofErr w:type="spellEnd"/>
      <w:r>
        <w:rPr>
          <w:rFonts w:ascii="Calibri" w:hAnsi="Calibri" w:cs="Calibri"/>
          <w:color w:val="000000"/>
        </w:rPr>
        <w:t xml:space="preserve">,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42" w:history="1">
        <w:r>
          <w:rPr>
            <w:rStyle w:val="Hyperlink"/>
            <w:rFonts w:ascii="Calibri" w:hAnsi="Calibri" w:cs="Calibri"/>
            <w:color w:val="1155CC"/>
          </w:rPr>
          <w:t>https://www.air.org/resource/when-districts-support-and-integrate-social-and-emotional-learning-sel</w:t>
        </w:r>
      </w:hyperlink>
    </w:p>
    <w:p w14:paraId="2BDEB07E"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43"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1925AC11"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44" w:history="1">
        <w:r>
          <w:rPr>
            <w:rStyle w:val="Hyperlink"/>
            <w:rFonts w:ascii="Calibri" w:hAnsi="Calibri" w:cs="Calibri"/>
            <w:color w:val="1155CC"/>
          </w:rPr>
          <w:t>https://www.casel.org/wp-content/uploads/2017/08/Sample-Teaching-Activities-to-Support-Core-Competencies-8-20-17.pdf</w:t>
        </w:r>
      </w:hyperlink>
    </w:p>
    <w:p w14:paraId="5546B6EE"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45" w:history="1">
        <w:r>
          <w:rPr>
            <w:rStyle w:val="Hyperlink"/>
            <w:rFonts w:ascii="Calibri" w:hAnsi="Calibri" w:cs="Calibri"/>
            <w:color w:val="1155CC"/>
          </w:rPr>
          <w:t>https://casel.org/wp-content/uploads/2020/11/SEL-Guidance-2020-Election.pdf</w:t>
        </w:r>
      </w:hyperlink>
    </w:p>
    <w:p w14:paraId="14E4AF7E"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46" w:history="1">
        <w:r>
          <w:rPr>
            <w:rStyle w:val="Hyperlink"/>
            <w:rFonts w:ascii="Calibri" w:hAnsi="Calibri" w:cs="Calibri"/>
            <w:color w:val="1155CC"/>
          </w:rPr>
          <w:t>https://www.iejme.com/download/critical-mathematics-education-recognizing-the-ethical-dimension-of-problem-solving.pdf</w:t>
        </w:r>
      </w:hyperlink>
    </w:p>
    <w:p w14:paraId="242D1EE3"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47" w:history="1">
        <w:r>
          <w:rPr>
            <w:rStyle w:val="Hyperlink"/>
            <w:rFonts w:ascii="Calibri" w:hAnsi="Calibri" w:cs="Calibri"/>
            <w:color w:val="1155CC"/>
          </w:rPr>
          <w:t>https://ggie.berkeley.edu/academic-instruction/prosocial-math/</w:t>
        </w:r>
      </w:hyperlink>
    </w:p>
    <w:p w14:paraId="7206A116"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48" w:history="1">
        <w:r>
          <w:rPr>
            <w:rStyle w:val="Hyperlink"/>
            <w:rFonts w:ascii="Calibri" w:hAnsi="Calibri" w:cs="Calibri"/>
            <w:color w:val="1155CC"/>
          </w:rPr>
          <w:t>http://www.nctm.org/principlestoactions</w:t>
        </w:r>
      </w:hyperlink>
    </w:p>
    <w:p w14:paraId="035EB2CC"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49" w:history="1">
        <w:r>
          <w:rPr>
            <w:rStyle w:val="Hyperlink"/>
            <w:rFonts w:ascii="Calibri" w:hAnsi="Calibri" w:cs="Calibri"/>
            <w:color w:val="1155CC"/>
          </w:rPr>
          <w:t>https://achievethecore.org/page/3267/2020-21-priority-instructional-content-in-english-language-arts-literacy-and-mathematics</w:t>
        </w:r>
      </w:hyperlink>
    </w:p>
    <w:p w14:paraId="62FDDB81"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50" w:history="1">
        <w:r>
          <w:rPr>
            <w:rStyle w:val="Hyperlink"/>
            <w:rFonts w:ascii="Calibri" w:hAnsi="Calibri" w:cs="Calibri"/>
            <w:color w:val="1155CC"/>
          </w:rPr>
          <w:t>https://www.aspeninstitute.org/wp-content/uploads/2017/05/ThisTimeWithFeeling.pdf?_ga=2.148520830.875950129.1594644850-1543107257.1594644850</w:t>
        </w:r>
      </w:hyperlink>
    </w:p>
    <w:p w14:paraId="3FDAC1D3"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51" w:history="1">
        <w:r>
          <w:rPr>
            <w:rStyle w:val="Hyperlink"/>
            <w:rFonts w:ascii="Calibri" w:hAnsi="Calibri" w:cs="Calibri"/>
            <w:color w:val="1155CC"/>
          </w:rPr>
          <w:t>https://www.aspeninstitute.org/publications/learning-happens-supporting-students-social-emotional-academic-development/</w:t>
        </w:r>
      </w:hyperlink>
    </w:p>
    <w:p w14:paraId="464A8CF3" w14:textId="77777777" w:rsidR="00830019" w:rsidRDefault="00830019" w:rsidP="00830019">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 xml:space="preserve">Integrating Social, Emotional and Academic Development </w:t>
      </w:r>
      <w:proofErr w:type="gramStart"/>
      <w:r>
        <w:rPr>
          <w:rFonts w:ascii="Calibri" w:hAnsi="Calibri" w:cs="Calibri"/>
          <w:i/>
          <w:iCs/>
          <w:color w:val="000000"/>
        </w:rPr>
        <w:t>An</w:t>
      </w:r>
      <w:proofErr w:type="gramEnd"/>
      <w:r>
        <w:rPr>
          <w:rFonts w:ascii="Calibri" w:hAnsi="Calibri" w:cs="Calibri"/>
          <w:i/>
          <w:iCs/>
          <w:color w:val="000000"/>
        </w:rPr>
        <w:t xml:space="preserve"> Action Guide for School Leadership Teams</w:t>
      </w:r>
      <w:r>
        <w:rPr>
          <w:rFonts w:ascii="Calibri" w:hAnsi="Calibri" w:cs="Calibri"/>
          <w:color w:val="000000"/>
        </w:rPr>
        <w:t xml:space="preserve">. </w:t>
      </w:r>
      <w:hyperlink r:id="rId52"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350E2330"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53" w:history="1">
        <w:r>
          <w:rPr>
            <w:rStyle w:val="Hyperlink"/>
            <w:rFonts w:ascii="Calibri" w:hAnsi="Calibri" w:cs="Calibri"/>
            <w:color w:val="1155CC"/>
          </w:rPr>
          <w:t>https://edtrust.org/wp-content/uploads/2014/09/Social-Emotional-and-Academic-Development-Through-an-Equity-Lens-August-6-2020.pdf</w:t>
        </w:r>
      </w:hyperlink>
    </w:p>
    <w:p w14:paraId="7A68CB44" w14:textId="77777777" w:rsidR="00830019" w:rsidRDefault="00830019" w:rsidP="00830019">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54" w:history="1">
        <w:r>
          <w:rPr>
            <w:rStyle w:val="Hyperlink"/>
            <w:rFonts w:ascii="Calibri" w:hAnsi="Calibri" w:cs="Calibri"/>
            <w:color w:val="1155CC"/>
          </w:rPr>
          <w:t>https://equitablemath.org</w:t>
        </w:r>
      </w:hyperlink>
    </w:p>
    <w:p w14:paraId="6A517201" w14:textId="77777777" w:rsidR="00830019" w:rsidRDefault="00830019" w:rsidP="00830019">
      <w:pPr>
        <w:spacing w:before="240"/>
      </w:pPr>
    </w:p>
    <w:sectPr w:rsidR="00830019" w:rsidSect="008A28BD">
      <w:footerReference w:type="default" r:id="rId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9FD4" w14:textId="77777777" w:rsidR="009571A5" w:rsidRDefault="009571A5" w:rsidP="009571A5">
      <w:pPr>
        <w:spacing w:after="0" w:line="240" w:lineRule="auto"/>
      </w:pPr>
      <w:r>
        <w:separator/>
      </w:r>
    </w:p>
  </w:endnote>
  <w:endnote w:type="continuationSeparator" w:id="0">
    <w:p w14:paraId="333C5B12" w14:textId="77777777" w:rsidR="009571A5" w:rsidRDefault="009571A5" w:rsidP="0095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963836"/>
      <w:docPartObj>
        <w:docPartGallery w:val="Page Numbers (Bottom of Page)"/>
        <w:docPartUnique/>
      </w:docPartObj>
    </w:sdtPr>
    <w:sdtEndPr>
      <w:rPr>
        <w:noProof/>
      </w:rPr>
    </w:sdtEndPr>
    <w:sdtContent>
      <w:p w14:paraId="7B834004" w14:textId="10B5BAD6" w:rsidR="009571A5" w:rsidRDefault="009571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41A1E" w14:textId="77777777" w:rsidR="009571A5" w:rsidRDefault="00957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8FDF6" w14:textId="77777777" w:rsidR="009571A5" w:rsidRDefault="009571A5" w:rsidP="009571A5">
      <w:pPr>
        <w:spacing w:after="0" w:line="240" w:lineRule="auto"/>
      </w:pPr>
      <w:r>
        <w:separator/>
      </w:r>
    </w:p>
  </w:footnote>
  <w:footnote w:type="continuationSeparator" w:id="0">
    <w:p w14:paraId="6AAA94CC" w14:textId="77777777" w:rsidR="009571A5" w:rsidRDefault="009571A5" w:rsidP="00957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618AD"/>
    <w:multiLevelType w:val="multilevel"/>
    <w:tmpl w:val="BC68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C60"/>
    <w:multiLevelType w:val="multilevel"/>
    <w:tmpl w:val="A354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72712"/>
    <w:multiLevelType w:val="multilevel"/>
    <w:tmpl w:val="39F0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B0BDA"/>
    <w:multiLevelType w:val="multilevel"/>
    <w:tmpl w:val="AABA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73AFC"/>
    <w:multiLevelType w:val="multilevel"/>
    <w:tmpl w:val="3276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60A3C"/>
    <w:multiLevelType w:val="multilevel"/>
    <w:tmpl w:val="9F7A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211D2F"/>
    <w:multiLevelType w:val="multilevel"/>
    <w:tmpl w:val="AA6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E0F8B"/>
    <w:multiLevelType w:val="multilevel"/>
    <w:tmpl w:val="0CA4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9D2665"/>
    <w:multiLevelType w:val="multilevel"/>
    <w:tmpl w:val="7734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275208"/>
    <w:multiLevelType w:val="multilevel"/>
    <w:tmpl w:val="8C4C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0"/>
  </w:num>
  <w:num w:numId="3">
    <w:abstractNumId w:val="38"/>
  </w:num>
  <w:num w:numId="4">
    <w:abstractNumId w:val="9"/>
  </w:num>
  <w:num w:numId="5">
    <w:abstractNumId w:val="0"/>
  </w:num>
  <w:num w:numId="6">
    <w:abstractNumId w:val="37"/>
  </w:num>
  <w:num w:numId="7">
    <w:abstractNumId w:val="28"/>
  </w:num>
  <w:num w:numId="8">
    <w:abstractNumId w:val="34"/>
  </w:num>
  <w:num w:numId="9">
    <w:abstractNumId w:val="2"/>
  </w:num>
  <w:num w:numId="10">
    <w:abstractNumId w:val="25"/>
  </w:num>
  <w:num w:numId="11">
    <w:abstractNumId w:val="3"/>
  </w:num>
  <w:num w:numId="12">
    <w:abstractNumId w:val="6"/>
  </w:num>
  <w:num w:numId="13">
    <w:abstractNumId w:val="33"/>
  </w:num>
  <w:num w:numId="14">
    <w:abstractNumId w:val="31"/>
  </w:num>
  <w:num w:numId="15">
    <w:abstractNumId w:val="1"/>
  </w:num>
  <w:num w:numId="16">
    <w:abstractNumId w:val="21"/>
  </w:num>
  <w:num w:numId="17">
    <w:abstractNumId w:val="18"/>
  </w:num>
  <w:num w:numId="18">
    <w:abstractNumId w:val="27"/>
  </w:num>
  <w:num w:numId="19">
    <w:abstractNumId w:val="29"/>
  </w:num>
  <w:num w:numId="20">
    <w:abstractNumId w:val="26"/>
  </w:num>
  <w:num w:numId="21">
    <w:abstractNumId w:val="8"/>
  </w:num>
  <w:num w:numId="2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2"/>
  </w:num>
  <w:num w:numId="2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35"/>
  </w:num>
  <w:num w:numId="31">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17"/>
  </w:num>
  <w:num w:numId="3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24"/>
  </w:num>
  <w:num w:numId="3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39"/>
  </w:num>
  <w:num w:numId="4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4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15072"/>
    <w:rsid w:val="00033054"/>
    <w:rsid w:val="000C0DC6"/>
    <w:rsid w:val="000F2F25"/>
    <w:rsid w:val="001048EC"/>
    <w:rsid w:val="001100A8"/>
    <w:rsid w:val="00143716"/>
    <w:rsid w:val="0015111B"/>
    <w:rsid w:val="0015285B"/>
    <w:rsid w:val="002037AC"/>
    <w:rsid w:val="00207C99"/>
    <w:rsid w:val="002A22B9"/>
    <w:rsid w:val="002A4745"/>
    <w:rsid w:val="002C71F0"/>
    <w:rsid w:val="00344186"/>
    <w:rsid w:val="003C44D5"/>
    <w:rsid w:val="003F40E6"/>
    <w:rsid w:val="004230F8"/>
    <w:rsid w:val="00487097"/>
    <w:rsid w:val="00504256"/>
    <w:rsid w:val="00580EBE"/>
    <w:rsid w:val="005D6FD1"/>
    <w:rsid w:val="005E6BC6"/>
    <w:rsid w:val="006B4222"/>
    <w:rsid w:val="006F0EED"/>
    <w:rsid w:val="00737134"/>
    <w:rsid w:val="007C58CA"/>
    <w:rsid w:val="00830019"/>
    <w:rsid w:val="00841A5D"/>
    <w:rsid w:val="00850FB3"/>
    <w:rsid w:val="0085277E"/>
    <w:rsid w:val="008952BF"/>
    <w:rsid w:val="008A28BD"/>
    <w:rsid w:val="008A6846"/>
    <w:rsid w:val="008E2E85"/>
    <w:rsid w:val="009571A5"/>
    <w:rsid w:val="009B3FEE"/>
    <w:rsid w:val="00A07506"/>
    <w:rsid w:val="00A4728D"/>
    <w:rsid w:val="00A50207"/>
    <w:rsid w:val="00AA0436"/>
    <w:rsid w:val="00AD2A96"/>
    <w:rsid w:val="00AE1109"/>
    <w:rsid w:val="00AE31D2"/>
    <w:rsid w:val="00B35A8A"/>
    <w:rsid w:val="00BD64C5"/>
    <w:rsid w:val="00C0500A"/>
    <w:rsid w:val="00C12265"/>
    <w:rsid w:val="00CA775B"/>
    <w:rsid w:val="00CB214C"/>
    <w:rsid w:val="00D34D0C"/>
    <w:rsid w:val="00DD77BE"/>
    <w:rsid w:val="00DE0DB7"/>
    <w:rsid w:val="00E52E35"/>
    <w:rsid w:val="00ED2140"/>
    <w:rsid w:val="00F13BDE"/>
    <w:rsid w:val="00F223BB"/>
    <w:rsid w:val="00F22E57"/>
    <w:rsid w:val="00F25EE7"/>
    <w:rsid w:val="00F45305"/>
    <w:rsid w:val="00FD0265"/>
    <w:rsid w:val="01843DB4"/>
    <w:rsid w:val="0874EC69"/>
    <w:rsid w:val="0925860D"/>
    <w:rsid w:val="0C380A37"/>
    <w:rsid w:val="109563B4"/>
    <w:rsid w:val="155D8BAD"/>
    <w:rsid w:val="1A953DC2"/>
    <w:rsid w:val="249941CD"/>
    <w:rsid w:val="2B8AB6F1"/>
    <w:rsid w:val="2BF5DFD6"/>
    <w:rsid w:val="2C14A720"/>
    <w:rsid w:val="2DD5C00B"/>
    <w:rsid w:val="325C763A"/>
    <w:rsid w:val="373D61FC"/>
    <w:rsid w:val="37D011D2"/>
    <w:rsid w:val="3C35477F"/>
    <w:rsid w:val="3CE7E601"/>
    <w:rsid w:val="46F3EF90"/>
    <w:rsid w:val="4AD12261"/>
    <w:rsid w:val="5070EAB2"/>
    <w:rsid w:val="53DBD2A2"/>
    <w:rsid w:val="560B2D69"/>
    <w:rsid w:val="6229167B"/>
    <w:rsid w:val="62BABAE5"/>
    <w:rsid w:val="635217A2"/>
    <w:rsid w:val="654DBEAB"/>
    <w:rsid w:val="69F2C933"/>
    <w:rsid w:val="6C53C60B"/>
    <w:rsid w:val="6E35AEBC"/>
    <w:rsid w:val="73EFED77"/>
    <w:rsid w:val="75CCFF5D"/>
    <w:rsid w:val="79362FD7"/>
    <w:rsid w:val="79FE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6B1C8C12-5275-421B-8E2A-C6C3E6C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DE"/>
    <w:rPr>
      <w:rFonts w:ascii="Segoe UI" w:hAnsi="Segoe UI" w:cs="Segoe UI"/>
      <w:sz w:val="18"/>
      <w:szCs w:val="18"/>
    </w:rPr>
  </w:style>
  <w:style w:type="paragraph" w:styleId="Header">
    <w:name w:val="header"/>
    <w:basedOn w:val="Normal"/>
    <w:link w:val="HeaderChar"/>
    <w:uiPriority w:val="99"/>
    <w:unhideWhenUsed/>
    <w:rsid w:val="00957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A5"/>
  </w:style>
  <w:style w:type="paragraph" w:styleId="Footer">
    <w:name w:val="footer"/>
    <w:basedOn w:val="Normal"/>
    <w:link w:val="FooterChar"/>
    <w:uiPriority w:val="99"/>
    <w:unhideWhenUsed/>
    <w:rsid w:val="0095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77">
      <w:bodyDiv w:val="1"/>
      <w:marLeft w:val="0"/>
      <w:marRight w:val="0"/>
      <w:marTop w:val="0"/>
      <w:marBottom w:val="0"/>
      <w:divBdr>
        <w:top w:val="none" w:sz="0" w:space="0" w:color="auto"/>
        <w:left w:val="none" w:sz="0" w:space="0" w:color="auto"/>
        <w:bottom w:val="none" w:sz="0" w:space="0" w:color="auto"/>
        <w:right w:val="none" w:sz="0" w:space="0" w:color="auto"/>
      </w:divBdr>
    </w:div>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18747631">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173111838">
      <w:bodyDiv w:val="1"/>
      <w:marLeft w:val="0"/>
      <w:marRight w:val="0"/>
      <w:marTop w:val="0"/>
      <w:marBottom w:val="0"/>
      <w:divBdr>
        <w:top w:val="none" w:sz="0" w:space="0" w:color="auto"/>
        <w:left w:val="none" w:sz="0" w:space="0" w:color="auto"/>
        <w:bottom w:val="none" w:sz="0" w:space="0" w:color="auto"/>
        <w:right w:val="none" w:sz="0" w:space="0" w:color="auto"/>
      </w:divBdr>
    </w:div>
    <w:div w:id="193034130">
      <w:bodyDiv w:val="1"/>
      <w:marLeft w:val="0"/>
      <w:marRight w:val="0"/>
      <w:marTop w:val="0"/>
      <w:marBottom w:val="0"/>
      <w:divBdr>
        <w:top w:val="none" w:sz="0" w:space="0" w:color="auto"/>
        <w:left w:val="none" w:sz="0" w:space="0" w:color="auto"/>
        <w:bottom w:val="none" w:sz="0" w:space="0" w:color="auto"/>
        <w:right w:val="none" w:sz="0" w:space="0" w:color="auto"/>
      </w:divBdr>
    </w:div>
    <w:div w:id="224806403">
      <w:bodyDiv w:val="1"/>
      <w:marLeft w:val="0"/>
      <w:marRight w:val="0"/>
      <w:marTop w:val="0"/>
      <w:marBottom w:val="0"/>
      <w:divBdr>
        <w:top w:val="none" w:sz="0" w:space="0" w:color="auto"/>
        <w:left w:val="none" w:sz="0" w:space="0" w:color="auto"/>
        <w:bottom w:val="none" w:sz="0" w:space="0" w:color="auto"/>
        <w:right w:val="none" w:sz="0" w:space="0" w:color="auto"/>
      </w:divBdr>
    </w:div>
    <w:div w:id="455374822">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682896871">
      <w:bodyDiv w:val="1"/>
      <w:marLeft w:val="0"/>
      <w:marRight w:val="0"/>
      <w:marTop w:val="0"/>
      <w:marBottom w:val="0"/>
      <w:divBdr>
        <w:top w:val="none" w:sz="0" w:space="0" w:color="auto"/>
        <w:left w:val="none" w:sz="0" w:space="0" w:color="auto"/>
        <w:bottom w:val="none" w:sz="0" w:space="0" w:color="auto"/>
        <w:right w:val="none" w:sz="0" w:space="0" w:color="auto"/>
      </w:divBdr>
    </w:div>
    <w:div w:id="700012915">
      <w:bodyDiv w:val="1"/>
      <w:marLeft w:val="0"/>
      <w:marRight w:val="0"/>
      <w:marTop w:val="0"/>
      <w:marBottom w:val="0"/>
      <w:divBdr>
        <w:top w:val="none" w:sz="0" w:space="0" w:color="auto"/>
        <w:left w:val="none" w:sz="0" w:space="0" w:color="auto"/>
        <w:bottom w:val="none" w:sz="0" w:space="0" w:color="auto"/>
        <w:right w:val="none" w:sz="0" w:space="0" w:color="auto"/>
      </w:divBdr>
    </w:div>
    <w:div w:id="740712568">
      <w:bodyDiv w:val="1"/>
      <w:marLeft w:val="0"/>
      <w:marRight w:val="0"/>
      <w:marTop w:val="0"/>
      <w:marBottom w:val="0"/>
      <w:divBdr>
        <w:top w:val="none" w:sz="0" w:space="0" w:color="auto"/>
        <w:left w:val="none" w:sz="0" w:space="0" w:color="auto"/>
        <w:bottom w:val="none" w:sz="0" w:space="0" w:color="auto"/>
        <w:right w:val="none" w:sz="0" w:space="0" w:color="auto"/>
      </w:divBdr>
    </w:div>
    <w:div w:id="808059155">
      <w:bodyDiv w:val="1"/>
      <w:marLeft w:val="0"/>
      <w:marRight w:val="0"/>
      <w:marTop w:val="0"/>
      <w:marBottom w:val="0"/>
      <w:divBdr>
        <w:top w:val="none" w:sz="0" w:space="0" w:color="auto"/>
        <w:left w:val="none" w:sz="0" w:space="0" w:color="auto"/>
        <w:bottom w:val="none" w:sz="0" w:space="0" w:color="auto"/>
        <w:right w:val="none" w:sz="0" w:space="0" w:color="auto"/>
      </w:divBdr>
    </w:div>
    <w:div w:id="846947066">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1149051880">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327320557">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512335771">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744722814">
      <w:bodyDiv w:val="1"/>
      <w:marLeft w:val="0"/>
      <w:marRight w:val="0"/>
      <w:marTop w:val="0"/>
      <w:marBottom w:val="0"/>
      <w:divBdr>
        <w:top w:val="none" w:sz="0" w:space="0" w:color="auto"/>
        <w:left w:val="none" w:sz="0" w:space="0" w:color="auto"/>
        <w:bottom w:val="none" w:sz="0" w:space="0" w:color="auto"/>
        <w:right w:val="none" w:sz="0" w:space="0" w:color="auto"/>
      </w:divBdr>
    </w:div>
    <w:div w:id="1821992243">
      <w:bodyDiv w:val="1"/>
      <w:marLeft w:val="0"/>
      <w:marRight w:val="0"/>
      <w:marTop w:val="0"/>
      <w:marBottom w:val="0"/>
      <w:divBdr>
        <w:top w:val="none" w:sz="0" w:space="0" w:color="auto"/>
        <w:left w:val="none" w:sz="0" w:space="0" w:color="auto"/>
        <w:bottom w:val="none" w:sz="0" w:space="0" w:color="auto"/>
        <w:right w:val="none" w:sz="0" w:space="0" w:color="auto"/>
      </w:divBdr>
    </w:div>
    <w:div w:id="1930114420">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education.ky.gov/curriculum/standards/kyacadstand/Documents/STEM_Teaching_Tool_53_Cautions_for_Culturally_Responsive_Instruction.pdf" TargetMode="External"/><Relationship Id="rId26" Type="http://schemas.openxmlformats.org/officeDocument/2006/relationships/hyperlink" Target="https://learn.teachingchannel.com/video/class-warm-up-routine" TargetMode="External"/><Relationship Id="rId39" Type="http://schemas.openxmlformats.org/officeDocument/2006/relationships/hyperlink" Target="http://stemteachingtools.org/brief/31" TargetMode="External"/><Relationship Id="rId21" Type="http://schemas.openxmlformats.org/officeDocument/2006/relationships/hyperlink" Target="http://www.fosteringmathpractices.com/routinesforreasoning/" TargetMode="External"/><Relationship Id="rId34" Type="http://schemas.openxmlformats.org/officeDocument/2006/relationships/hyperlink" Target="https://education.ky.gov/curriculum/standards/kyacadstand/Documents/Kentucky_Academic_Standards_Mathematics.pdf" TargetMode="External"/><Relationship Id="rId42" Type="http://schemas.openxmlformats.org/officeDocument/2006/relationships/hyperlink" Target="https://www.air.org/resource/when-districts-support-and-integrate-social-and-emotional-learning-sel" TargetMode="External"/><Relationship Id="rId47" Type="http://schemas.openxmlformats.org/officeDocument/2006/relationships/hyperlink" Target="https://ggie.berkeley.edu/academic-instruction/prosocial-math/" TargetMode="External"/><Relationship Id="rId50" Type="http://schemas.openxmlformats.org/officeDocument/2006/relationships/hyperlink" Target="https://www.aspeninstitute.org/wp-content/uploads/2017/05/ThisTimeWithFeeling.pdf?_ga=2.148520830.875950129.1594644850-1543107257.1594644850"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scd.org/publications/educational-leadership/sept18/vol76/num01/Boosting-Your-Teacher-Credibility.aspx" TargetMode="External"/><Relationship Id="rId29" Type="http://schemas.openxmlformats.org/officeDocument/2006/relationships/hyperlink" Target="https://www.nctm.org/Conferences-and-Professional-Development/Tips-for-Teachers/Asking-Questions-and-Promoting-Discourse/" TargetMode="External"/><Relationship Id="rId11" Type="http://schemas.openxmlformats.org/officeDocument/2006/relationships/hyperlink" Target="https://casel.org/sel-framework/" TargetMode="External"/><Relationship Id="rId24" Type="http://schemas.openxmlformats.org/officeDocument/2006/relationships/hyperlink" Target="https://www.michigan.gov/documents/mde/Writing_to_Learn_Mathematics_306722_7.pdf" TargetMode="External"/><Relationship Id="rId32" Type="http://schemas.openxmlformats.org/officeDocument/2006/relationships/hyperlink" Target="http://stemteachingtools.org/brief/35" TargetMode="External"/><Relationship Id="rId37" Type="http://schemas.openxmlformats.org/officeDocument/2006/relationships/hyperlink" Target="https://slowrevealgraphs.com/" TargetMode="External"/><Relationship Id="rId40" Type="http://schemas.openxmlformats.org/officeDocument/2006/relationships/hyperlink" Target="https://www.edutopia.org/article/bringing-culturally-responsive-lens-math-class" TargetMode="External"/><Relationship Id="rId45" Type="http://schemas.openxmlformats.org/officeDocument/2006/relationships/hyperlink" Target="https://casel.org/wp-content/uploads/2020/11/SEL-Guidance-2020-Election.pdf" TargetMode="External"/><Relationship Id="rId53" Type="http://schemas.openxmlformats.org/officeDocument/2006/relationships/hyperlink" Target="https://edtrust.org/wp-content/uploads/2014/09/Social-Emotional-and-Academic-Development-Through-an-Equity-Lens-August-6-2020.pdf" TargetMode="External"/><Relationship Id="rId58" Type="http://schemas.openxmlformats.org/officeDocument/2006/relationships/customXml" Target="../customXml/item4.xml"/><Relationship Id="rId5" Type="http://schemas.openxmlformats.org/officeDocument/2006/relationships/styles" Target="styles.xml"/><Relationship Id="rId19" Type="http://schemas.openxmlformats.org/officeDocument/2006/relationships/hyperlink" Target="https://www.nctm.org/Publications/Teaching-Children-Mathematics/2016/Vol22/Issue6/tcm2016-02-358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cubed.org/resource/growth-mindset/" TargetMode="External"/><Relationship Id="rId22" Type="http://schemas.openxmlformats.org/officeDocument/2006/relationships/hyperlink" Target="https://education.ky.gov/curriculum/standards/kyacadstand/Documents/A_Family's_Guide_to_Student_Assessment.pdf" TargetMode="External"/><Relationship Id="rId27" Type="http://schemas.openxmlformats.org/officeDocument/2006/relationships/hyperlink" Target="http://www.siam.org/Portals/0/Publications/Reports/gaimme-full_color_for_online_viewing.pdf?ver=2018-03-19-115454-057" TargetMode="External"/><Relationship Id="rId30" Type="http://schemas.openxmlformats.org/officeDocument/2006/relationships/hyperlink" Target="https://irp-cdn.multiscreensite.com/7a45b809/files/uploaded/talk_moves_map_oconnor_2017.pdf" TargetMode="External"/><Relationship Id="rId35" Type="http://schemas.openxmlformats.org/officeDocument/2006/relationships/hyperlink" Target="https://education.ky.gov/curriculum/standards/kyacadstand/Documents/Kentucky_Academic_Standards_Mathematics.pdf" TargetMode="External"/><Relationship Id="rId43" Type="http://schemas.openxmlformats.org/officeDocument/2006/relationships/hyperlink" Target="https://www.insidemathematics.org/sites/default/files/assets/common-core-resources/social-emotional-learning/a__integrating_sel_and_ccssm_making_the_case.pdf" TargetMode="External"/><Relationship Id="rId48" Type="http://schemas.openxmlformats.org/officeDocument/2006/relationships/hyperlink" Target="http://www.nctm.org/principlestoaction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aspeninstitute.org/publications/learning-happens-supporting-students-social-emotional-academic-development/" TargetMode="Externa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hyperlink" Target="http://www.ascd.org/publications/educational-leadership/sept95/vol53/num01/A-Framework-for-Culturally-Responsive-Teaching.aspx" TargetMode="External"/><Relationship Id="rId25" Type="http://schemas.openxmlformats.org/officeDocument/2006/relationships/hyperlink" Target="https://greatergood.berkeley.edu/images/uploads/Bridging_Differences_Playbook-Final.pdf" TargetMode="External"/><Relationship Id="rId33" Type="http://schemas.openxmlformats.org/officeDocument/2006/relationships/hyperlink" Target="https://www.nctm.org/Research-and-Advocacy/Research-Brief-and-Clips/Strategies-for-Discussion/" TargetMode="External"/><Relationship Id="rId38"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46" Type="http://schemas.openxmlformats.org/officeDocument/2006/relationships/hyperlink" Target="https://www.iejme.com/download/critical-mathematics-education-recognizing-the-ethical-dimension-of-problem-solving.pdf" TargetMode="External"/><Relationship Id="rId20" Type="http://schemas.openxmlformats.org/officeDocument/2006/relationships/hyperlink" Target="https://www.elsuccessforum.org/resources/a-how-to-guide-for-teachers" TargetMode="External"/><Relationship Id="rId41" Type="http://schemas.openxmlformats.org/officeDocument/2006/relationships/hyperlink" Target="https://education.ky.gov/curriculum/standards/kyacadstand/Documents/SMP_Look_Fors_and_Question_Stems.pdf" TargetMode="External"/><Relationship Id="rId54" Type="http://schemas.openxmlformats.org/officeDocument/2006/relationships/hyperlink" Target="https://equitablemath.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apintoteenminds.com/3act-math/" TargetMode="External"/><Relationship Id="rId23" Type="http://schemas.openxmlformats.org/officeDocument/2006/relationships/hyperlink" Target="https://ged.com/wp-content/uploads/MathPrompts.pdf" TargetMode="External"/><Relationship Id="rId28" Type="http://schemas.openxmlformats.org/officeDocument/2006/relationships/hyperlink" Target="https://education.ky.gov/curriculum/standards/kyacadstand/Documents/Kentucky_Academic_Standards_Mathematics.pdf" TargetMode="External"/><Relationship Id="rId36" Type="http://schemas.openxmlformats.org/officeDocument/2006/relationships/hyperlink" Target="https://www.youcubed.org/resource/data-talks/" TargetMode="External"/><Relationship Id="rId49" Type="http://schemas.openxmlformats.org/officeDocument/2006/relationships/hyperlink" Target="https://achievethecore.org/page/3267/2020-21-priority-instructional-content-in-english-language-arts-literacy-and-mathematics" TargetMode="External"/><Relationship Id="rId57" Type="http://schemas.openxmlformats.org/officeDocument/2006/relationships/theme" Target="theme/theme1.xm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kystandards.org/standards-resources/mathematics-resources/breaking-down-a-mathematics-standard/" TargetMode="External"/><Relationship Id="rId44" Type="http://schemas.openxmlformats.org/officeDocument/2006/relationships/hyperlink" Target="https://www.casel.org/wp-content/uploads/2017/08/Sample-Teaching-Activities-to-Support-Core-Competencies-8-20-17.pdf" TargetMode="External"/><Relationship Id="rId52" Type="http://schemas.openxmlformats.org/officeDocument/2006/relationships/hyperlink" Target="https://www.aspeninstitute.org/wp-content/uploads/2019/03/UPDATED-FINAL-Aspen_Integrating-Report_4_Single.pdf?_ga=2.212540755.619137273.1554901622-1235241466.1533737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KYED-536-1228</_dlc_DocId>
    <_dlc_DocIdUrl xmlns="3a62de7d-ba57-4f43-9dae-9623ba637be0">
      <Url>https://www.education.ky.gov/curriculum/standards/kyacadstand/_layouts/15/DocIdRedir.aspx?ID=KYED-536-1228</Url>
      <Description>KYED-536-1228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2.xml><?xml version="1.0" encoding="utf-8"?>
<ds:datastoreItem xmlns:ds="http://schemas.openxmlformats.org/officeDocument/2006/customXml" ds:itemID="{EB3099BE-C899-4E32-964C-A35AFACCD932}">
  <ds:schemaRefs>
    <ds:schemaRef ds:uri="621773ed-55dc-4476-af5e-5bf4e5742684"/>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2423c08-2846-40b6-adb1-6ff477af9c4c"/>
  </ds:schemaRefs>
</ds:datastoreItem>
</file>

<file path=customXml/itemProps3.xml><?xml version="1.0" encoding="utf-8"?>
<ds:datastoreItem xmlns:ds="http://schemas.openxmlformats.org/officeDocument/2006/customXml" ds:itemID="{51D8AF96-5281-4BBE-BD09-E0EF9F2E6472}"/>
</file>

<file path=customXml/itemProps4.xml><?xml version="1.0" encoding="utf-8"?>
<ds:datastoreItem xmlns:ds="http://schemas.openxmlformats.org/officeDocument/2006/customXml" ds:itemID="{E8B041BD-D4BE-4513-BC29-420A5230C2C6}"/>
</file>

<file path=docProps/app.xml><?xml version="1.0" encoding="utf-8"?>
<Properties xmlns="http://schemas.openxmlformats.org/officeDocument/2006/extended-properties" xmlns:vt="http://schemas.openxmlformats.org/officeDocument/2006/docPropsVTypes">
  <Template>Normal</Template>
  <TotalTime>0</TotalTime>
  <Pages>16</Pages>
  <Words>7925</Words>
  <Characters>45178</Characters>
  <Application>Microsoft Office Word</Application>
  <DocSecurity>0</DocSecurity>
  <Lines>376</Lines>
  <Paragraphs>105</Paragraphs>
  <ScaleCrop>false</ScaleCrop>
  <Company>Kentucky Department of Education</Company>
  <LinksUpToDate>false</LinksUpToDate>
  <CharactersWithSpaces>52998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2021-09-14T17:15:00Z</dcterms:created>
  <dcterms:modified xsi:type="dcterms:W3CDTF">2021-09-14T17:15:00Z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425b5076-5004-413f-aaa2-9471528d54a2</vt:lpwstr>
  </property>
</Properties>
</file>