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4460D" w14:textId="67993BCB" w:rsidR="005C2CCA" w:rsidRPr="00BA2866" w:rsidRDefault="005C2CCA" w:rsidP="00BA2866">
      <w:pPr>
        <w:pStyle w:val="Title"/>
        <w:rPr>
          <w:sz w:val="52"/>
        </w:rPr>
      </w:pPr>
      <w:r w:rsidRPr="00BA2866">
        <w:rPr>
          <w:sz w:val="52"/>
        </w:rPr>
        <w:t>STUDENT RE-ENGAGEMENT MINI GRANT FAQ</w:t>
      </w:r>
    </w:p>
    <w:p w14:paraId="0875498F" w14:textId="7C97CF1B" w:rsidR="004018EF" w:rsidRDefault="004018EF"/>
    <w:p w14:paraId="6BC967B5" w14:textId="3DA10D19" w:rsidR="00B6007F" w:rsidRPr="004C1D08" w:rsidRDefault="00B6007F" w:rsidP="00B6007F">
      <w:pPr>
        <w:pStyle w:val="ListParagraph"/>
        <w:numPr>
          <w:ilvl w:val="0"/>
          <w:numId w:val="1"/>
        </w:numPr>
        <w:rPr>
          <w:rFonts w:asciiTheme="minorHAnsi" w:eastAsiaTheme="minorHAnsi" w:hAnsiTheme="minorHAnsi" w:cstheme="minorHAnsi"/>
          <w:b/>
          <w:bCs/>
          <w:sz w:val="22"/>
          <w:szCs w:val="22"/>
        </w:rPr>
      </w:pPr>
      <w:r w:rsidRPr="00434A50">
        <w:rPr>
          <w:rFonts w:asciiTheme="minorHAnsi" w:hAnsiTheme="minorHAnsi" w:cstheme="minorHAnsi"/>
          <w:b/>
          <w:bCs/>
          <w:sz w:val="22"/>
          <w:szCs w:val="22"/>
        </w:rPr>
        <w:t>Can this grant be used to pay for an instructor who is GED test examiner certified to run a mobile GED testing unit?</w:t>
      </w:r>
    </w:p>
    <w:p w14:paraId="210E535E" w14:textId="77777777" w:rsidR="004C1D08" w:rsidRPr="00434A50" w:rsidRDefault="004C1D08" w:rsidP="004C1D08">
      <w:pPr>
        <w:pStyle w:val="ListParagraph"/>
        <w:rPr>
          <w:rFonts w:asciiTheme="minorHAnsi" w:eastAsiaTheme="minorHAnsi" w:hAnsiTheme="minorHAnsi" w:cstheme="minorHAnsi"/>
          <w:b/>
          <w:bCs/>
          <w:sz w:val="22"/>
          <w:szCs w:val="22"/>
        </w:rPr>
      </w:pPr>
    </w:p>
    <w:p w14:paraId="71ECC162" w14:textId="77777777" w:rsidR="00CA23CC" w:rsidRPr="00CA0ED6" w:rsidRDefault="00CA23CC" w:rsidP="00CA23CC">
      <w:pPr>
        <w:pStyle w:val="ListParagraph"/>
        <w:rPr>
          <w:rFonts w:asciiTheme="minorHAnsi" w:eastAsiaTheme="minorHAnsi" w:hAnsiTheme="minorHAnsi" w:cstheme="minorHAnsi"/>
          <w:color w:val="C00000"/>
          <w:sz w:val="22"/>
          <w:szCs w:val="22"/>
        </w:rPr>
      </w:pPr>
      <w:r w:rsidRPr="00CA0ED6">
        <w:rPr>
          <w:rFonts w:asciiTheme="minorHAnsi" w:hAnsiTheme="minorHAnsi" w:cstheme="minorHAnsi"/>
          <w:color w:val="C00000"/>
          <w:sz w:val="22"/>
          <w:szCs w:val="22"/>
        </w:rPr>
        <w:t>The grant may not be used to cover the cost of a GED Examiner.  The intent of the grant is for local school districts to increase the number of students becoming re-engaged within the local district’s educational system and to provide resources and supports for those students to work towards graduation and earning a high school diploma.</w:t>
      </w:r>
    </w:p>
    <w:p w14:paraId="5941983E" w14:textId="447A72B1" w:rsidR="00811914" w:rsidRPr="00434A50" w:rsidRDefault="00811914" w:rsidP="00811914">
      <w:pPr>
        <w:rPr>
          <w:rFonts w:asciiTheme="minorHAnsi" w:eastAsiaTheme="minorHAnsi" w:hAnsiTheme="minorHAnsi" w:cstheme="minorHAnsi"/>
          <w:sz w:val="22"/>
          <w:szCs w:val="22"/>
        </w:rPr>
      </w:pPr>
    </w:p>
    <w:p w14:paraId="3ED71611" w14:textId="5EB2A69D" w:rsidR="004C6943" w:rsidRPr="00434A50" w:rsidRDefault="004C6943" w:rsidP="004C6943">
      <w:pPr>
        <w:pStyle w:val="ListParagraph"/>
        <w:numPr>
          <w:ilvl w:val="0"/>
          <w:numId w:val="1"/>
        </w:numPr>
        <w:rPr>
          <w:rFonts w:asciiTheme="minorHAnsi" w:eastAsiaTheme="minorHAnsi" w:hAnsiTheme="minorHAnsi" w:cstheme="minorHAnsi"/>
          <w:b/>
          <w:bCs/>
          <w:sz w:val="22"/>
          <w:szCs w:val="22"/>
        </w:rPr>
      </w:pPr>
      <w:r w:rsidRPr="00434A50">
        <w:rPr>
          <w:rFonts w:asciiTheme="minorHAnsi" w:hAnsiTheme="minorHAnsi" w:cstheme="minorHAnsi"/>
          <w:b/>
          <w:bCs/>
          <w:sz w:val="22"/>
          <w:szCs w:val="22"/>
        </w:rPr>
        <w:t>The RFA states it is recommended to watch the TA session, but the link is not available. Can you send that to me?</w:t>
      </w:r>
    </w:p>
    <w:p w14:paraId="7D512AF0" w14:textId="79E3EA28" w:rsidR="00AE7C39" w:rsidRPr="00434A50" w:rsidRDefault="00AE7C39" w:rsidP="004C6943">
      <w:pPr>
        <w:pStyle w:val="ListParagraph"/>
        <w:rPr>
          <w:rFonts w:asciiTheme="minorHAnsi" w:eastAsia="Times New Roman" w:hAnsiTheme="minorHAnsi" w:cstheme="minorHAnsi"/>
          <w:color w:val="000000"/>
          <w:sz w:val="22"/>
          <w:szCs w:val="22"/>
        </w:rPr>
      </w:pPr>
    </w:p>
    <w:p w14:paraId="379B01A2" w14:textId="614A5583" w:rsidR="004C6943" w:rsidRPr="00CA0ED6" w:rsidRDefault="00CC4631" w:rsidP="004C6943">
      <w:pPr>
        <w:pStyle w:val="ListParagraph"/>
        <w:rPr>
          <w:rFonts w:asciiTheme="minorHAnsi" w:eastAsia="Times New Roman" w:hAnsiTheme="minorHAnsi" w:cstheme="minorHAnsi"/>
          <w:color w:val="C00000"/>
          <w:sz w:val="22"/>
          <w:szCs w:val="22"/>
        </w:rPr>
      </w:pPr>
      <w:r w:rsidRPr="00CA0ED6">
        <w:rPr>
          <w:rFonts w:asciiTheme="minorHAnsi" w:hAnsiTheme="minorHAnsi" w:cstheme="minorHAnsi"/>
          <w:color w:val="C00000"/>
          <w:sz w:val="22"/>
          <w:szCs w:val="22"/>
        </w:rPr>
        <w:t xml:space="preserve">The TA session </w:t>
      </w:r>
      <w:r w:rsidR="003A7F80">
        <w:rPr>
          <w:rFonts w:asciiTheme="minorHAnsi" w:hAnsiTheme="minorHAnsi" w:cstheme="minorHAnsi"/>
          <w:color w:val="C00000"/>
          <w:sz w:val="22"/>
          <w:szCs w:val="22"/>
        </w:rPr>
        <w:t>was</w:t>
      </w:r>
      <w:r w:rsidR="003A7F80" w:rsidRPr="00CA0ED6">
        <w:rPr>
          <w:rFonts w:asciiTheme="minorHAnsi" w:hAnsiTheme="minorHAnsi" w:cstheme="minorHAnsi"/>
          <w:color w:val="C00000"/>
          <w:sz w:val="22"/>
          <w:szCs w:val="22"/>
        </w:rPr>
        <w:t xml:space="preserve"> </w:t>
      </w:r>
      <w:r w:rsidRPr="00CA0ED6">
        <w:rPr>
          <w:rFonts w:asciiTheme="minorHAnsi" w:hAnsiTheme="minorHAnsi" w:cstheme="minorHAnsi"/>
          <w:color w:val="C00000"/>
          <w:sz w:val="22"/>
          <w:szCs w:val="22"/>
        </w:rPr>
        <w:t>posted to the KDE competitive grants page Wednesday, August</w:t>
      </w:r>
      <w:r w:rsidR="00BD61D7" w:rsidRPr="00CA0ED6">
        <w:rPr>
          <w:rFonts w:asciiTheme="minorHAnsi" w:hAnsiTheme="minorHAnsi" w:cstheme="minorHAnsi"/>
          <w:color w:val="C00000"/>
          <w:sz w:val="22"/>
          <w:szCs w:val="22"/>
        </w:rPr>
        <w:t xml:space="preserve"> 12</w:t>
      </w:r>
      <w:r w:rsidR="00BD61D7" w:rsidRPr="00CA0ED6">
        <w:rPr>
          <w:rFonts w:asciiTheme="minorHAnsi" w:hAnsiTheme="minorHAnsi" w:cstheme="minorHAnsi"/>
          <w:color w:val="C00000"/>
          <w:sz w:val="22"/>
          <w:szCs w:val="22"/>
          <w:vertAlign w:val="superscript"/>
        </w:rPr>
        <w:t>th</w:t>
      </w:r>
      <w:r w:rsidR="00BD61D7" w:rsidRPr="00CA0ED6">
        <w:rPr>
          <w:rFonts w:asciiTheme="minorHAnsi" w:hAnsiTheme="minorHAnsi" w:cstheme="minorHAnsi"/>
          <w:color w:val="C00000"/>
          <w:sz w:val="22"/>
          <w:szCs w:val="22"/>
        </w:rPr>
        <w:t>.</w:t>
      </w:r>
    </w:p>
    <w:p w14:paraId="51A6C30B" w14:textId="77777777" w:rsidR="004C6943" w:rsidRPr="00434A50" w:rsidRDefault="004C6943" w:rsidP="004C6943">
      <w:pPr>
        <w:pStyle w:val="ListParagraph"/>
        <w:rPr>
          <w:rFonts w:asciiTheme="minorHAnsi" w:eastAsia="Times New Roman" w:hAnsiTheme="minorHAnsi" w:cstheme="minorHAnsi"/>
          <w:color w:val="000000"/>
          <w:sz w:val="22"/>
          <w:szCs w:val="22"/>
        </w:rPr>
      </w:pPr>
    </w:p>
    <w:p w14:paraId="2DE9235D" w14:textId="0F51F1E2" w:rsidR="00AE7C39" w:rsidRPr="00434A50" w:rsidRDefault="00AE7C39" w:rsidP="00AE7C39">
      <w:pPr>
        <w:pStyle w:val="ListParagraph"/>
        <w:numPr>
          <w:ilvl w:val="0"/>
          <w:numId w:val="1"/>
        </w:numPr>
        <w:spacing w:before="100" w:beforeAutospacing="1" w:after="100" w:afterAutospacing="1"/>
        <w:rPr>
          <w:rFonts w:asciiTheme="minorHAnsi" w:eastAsia="Times New Roman" w:hAnsiTheme="minorHAnsi" w:cstheme="minorHAnsi"/>
          <w:b/>
          <w:bCs/>
          <w:color w:val="000000"/>
          <w:sz w:val="22"/>
          <w:szCs w:val="22"/>
        </w:rPr>
      </w:pPr>
      <w:r w:rsidRPr="00434A50">
        <w:rPr>
          <w:rFonts w:asciiTheme="minorHAnsi" w:eastAsia="Times New Roman" w:hAnsiTheme="minorHAnsi" w:cstheme="minorHAnsi"/>
          <w:b/>
          <w:bCs/>
          <w:color w:val="000000"/>
          <w:sz w:val="22"/>
          <w:szCs w:val="22"/>
        </w:rPr>
        <w:t>In light of the C</w:t>
      </w:r>
      <w:r w:rsidR="009112C2">
        <w:rPr>
          <w:rFonts w:asciiTheme="minorHAnsi" w:eastAsia="Times New Roman" w:hAnsiTheme="minorHAnsi" w:cstheme="minorHAnsi"/>
          <w:b/>
          <w:bCs/>
          <w:color w:val="000000"/>
          <w:sz w:val="22"/>
          <w:szCs w:val="22"/>
        </w:rPr>
        <w:t>OVID</w:t>
      </w:r>
      <w:r w:rsidRPr="00434A50">
        <w:rPr>
          <w:rFonts w:asciiTheme="minorHAnsi" w:eastAsia="Times New Roman" w:hAnsiTheme="minorHAnsi" w:cstheme="minorHAnsi"/>
          <w:b/>
          <w:bCs/>
          <w:color w:val="000000"/>
          <w:sz w:val="22"/>
          <w:szCs w:val="22"/>
        </w:rPr>
        <w:t xml:space="preserve"> pandemic, are there any provisions for accepting electronic signatures? If yes, can the notary signature be electronic as well?</w:t>
      </w:r>
    </w:p>
    <w:p w14:paraId="58B3A4E6" w14:textId="77777777" w:rsidR="00400419" w:rsidRPr="00434A50" w:rsidRDefault="00400419" w:rsidP="00400419">
      <w:pPr>
        <w:pStyle w:val="ListParagraph"/>
        <w:spacing w:before="100" w:beforeAutospacing="1" w:after="100" w:afterAutospacing="1"/>
        <w:rPr>
          <w:rFonts w:asciiTheme="minorHAnsi" w:hAnsiTheme="minorHAnsi" w:cstheme="minorHAnsi"/>
          <w:color w:val="FF0000"/>
          <w:sz w:val="22"/>
          <w:szCs w:val="22"/>
        </w:rPr>
      </w:pPr>
    </w:p>
    <w:p w14:paraId="0DD780B3" w14:textId="67E509BE" w:rsidR="00400419" w:rsidRPr="00CA0ED6" w:rsidRDefault="00400419" w:rsidP="00400419">
      <w:pPr>
        <w:pStyle w:val="ListParagraph"/>
        <w:spacing w:before="100" w:beforeAutospacing="1" w:after="100" w:afterAutospacing="1"/>
        <w:rPr>
          <w:rFonts w:asciiTheme="minorHAnsi" w:eastAsiaTheme="minorHAnsi" w:hAnsiTheme="minorHAnsi" w:cstheme="minorHAnsi"/>
          <w:color w:val="C00000"/>
          <w:sz w:val="22"/>
          <w:szCs w:val="22"/>
        </w:rPr>
      </w:pPr>
      <w:r w:rsidRPr="00CA0ED6">
        <w:rPr>
          <w:rFonts w:asciiTheme="minorHAnsi" w:hAnsiTheme="minorHAnsi" w:cstheme="minorHAnsi"/>
          <w:color w:val="C00000"/>
          <w:sz w:val="22"/>
          <w:szCs w:val="22"/>
        </w:rPr>
        <w:t xml:space="preserve">The superintendent and notary signatures on the cover page should not be electronic.  All other signatures may be electronic. </w:t>
      </w:r>
    </w:p>
    <w:p w14:paraId="3212B468" w14:textId="77777777" w:rsidR="00AE7C39" w:rsidRPr="00434A50" w:rsidRDefault="00AE7C39" w:rsidP="00AE7C39">
      <w:pPr>
        <w:numPr>
          <w:ilvl w:val="0"/>
          <w:numId w:val="1"/>
        </w:numPr>
        <w:spacing w:before="100" w:beforeAutospacing="1" w:after="100" w:afterAutospacing="1"/>
        <w:rPr>
          <w:rFonts w:asciiTheme="minorHAnsi" w:eastAsia="Times New Roman" w:hAnsiTheme="minorHAnsi" w:cstheme="minorHAnsi"/>
          <w:b/>
          <w:bCs/>
          <w:color w:val="000000"/>
          <w:sz w:val="22"/>
          <w:szCs w:val="22"/>
        </w:rPr>
      </w:pPr>
      <w:r w:rsidRPr="00434A50">
        <w:rPr>
          <w:rFonts w:asciiTheme="minorHAnsi" w:eastAsia="Times New Roman" w:hAnsiTheme="minorHAnsi" w:cstheme="minorHAnsi"/>
          <w:b/>
          <w:bCs/>
          <w:color w:val="000000"/>
          <w:sz w:val="22"/>
          <w:szCs w:val="22"/>
        </w:rPr>
        <w:t>The rubric is confusing. Parts 3 and 4 are combined. Does this mean that both sections together are worth up to 9 points or is each section worth 9 points?</w:t>
      </w:r>
    </w:p>
    <w:p w14:paraId="129FC8D5" w14:textId="77777777" w:rsidR="00AE7C39" w:rsidRPr="00CA0ED6" w:rsidRDefault="00AE7C39" w:rsidP="00CC4631">
      <w:pPr>
        <w:spacing w:before="100" w:beforeAutospacing="1" w:after="100" w:afterAutospacing="1"/>
        <w:ind w:firstLine="720"/>
        <w:rPr>
          <w:rFonts w:asciiTheme="minorHAnsi" w:eastAsiaTheme="minorHAnsi" w:hAnsiTheme="minorHAnsi" w:cstheme="minorHAnsi"/>
          <w:color w:val="C00000"/>
          <w:sz w:val="22"/>
          <w:szCs w:val="22"/>
        </w:rPr>
      </w:pPr>
      <w:r w:rsidRPr="00CA0ED6">
        <w:rPr>
          <w:rFonts w:asciiTheme="minorHAnsi" w:hAnsiTheme="minorHAnsi" w:cstheme="minorHAnsi"/>
          <w:color w:val="C00000"/>
          <w:sz w:val="22"/>
          <w:szCs w:val="22"/>
        </w:rPr>
        <w:t xml:space="preserve">Sections 3 and 4 are combined for scoring for a total of 9 points possible. </w:t>
      </w:r>
    </w:p>
    <w:p w14:paraId="16E85F0F" w14:textId="7BBF74B4" w:rsidR="00AE7C39" w:rsidRPr="00434A50" w:rsidRDefault="00AE7C39" w:rsidP="00AE7C39">
      <w:pPr>
        <w:numPr>
          <w:ilvl w:val="0"/>
          <w:numId w:val="1"/>
        </w:numPr>
        <w:spacing w:before="100" w:beforeAutospacing="1" w:after="100" w:afterAutospacing="1"/>
        <w:rPr>
          <w:rFonts w:asciiTheme="minorHAnsi" w:eastAsia="Times New Roman" w:hAnsiTheme="minorHAnsi" w:cstheme="minorHAnsi"/>
          <w:b/>
          <w:bCs/>
          <w:color w:val="000000"/>
          <w:sz w:val="22"/>
          <w:szCs w:val="22"/>
        </w:rPr>
      </w:pPr>
      <w:r w:rsidRPr="00434A50">
        <w:rPr>
          <w:rFonts w:asciiTheme="minorHAnsi" w:eastAsia="Times New Roman" w:hAnsiTheme="minorHAnsi" w:cstheme="minorHAnsi"/>
          <w:b/>
          <w:bCs/>
          <w:color w:val="000000"/>
          <w:sz w:val="22"/>
          <w:szCs w:val="22"/>
        </w:rPr>
        <w:t>The exemplary section of the rubric for the Budget states, "Personnel, project activities timeline, and budget expenditures </w:t>
      </w:r>
      <w:bookmarkStart w:id="0" w:name="_Hlk47698481"/>
      <w:r w:rsidRPr="00434A50">
        <w:rPr>
          <w:rFonts w:asciiTheme="minorHAnsi" w:hAnsiTheme="minorHAnsi" w:cstheme="minorHAnsi"/>
          <w:b/>
          <w:bCs/>
          <w:color w:val="000000"/>
          <w:sz w:val="22"/>
          <w:szCs w:val="22"/>
        </w:rPr>
        <w:t>congruent with project description and outcomes."  Does this mean that personnel and project activities timeline are discussed in the budget part rather than the implementation part?</w:t>
      </w:r>
      <w:bookmarkEnd w:id="0"/>
    </w:p>
    <w:p w14:paraId="6B938775" w14:textId="77777777" w:rsidR="00AE7C39" w:rsidRPr="00CA0ED6" w:rsidRDefault="00AE7C39" w:rsidP="00CC4631">
      <w:pPr>
        <w:spacing w:before="100" w:beforeAutospacing="1" w:after="100" w:afterAutospacing="1"/>
        <w:ind w:left="720"/>
        <w:rPr>
          <w:rFonts w:asciiTheme="minorHAnsi" w:eastAsiaTheme="minorHAnsi" w:hAnsiTheme="minorHAnsi" w:cstheme="minorHAnsi"/>
          <w:color w:val="C00000"/>
          <w:sz w:val="22"/>
          <w:szCs w:val="22"/>
        </w:rPr>
      </w:pPr>
      <w:r w:rsidRPr="00CA0ED6">
        <w:rPr>
          <w:rFonts w:asciiTheme="minorHAnsi" w:hAnsiTheme="minorHAnsi" w:cstheme="minorHAnsi"/>
          <w:color w:val="C00000"/>
          <w:sz w:val="22"/>
          <w:szCs w:val="22"/>
        </w:rPr>
        <w:t xml:space="preserve">This means that your budget should match the plan. There should be no items in your budget that aren’t directly connected to the plan presented in sections 1-4.  </w:t>
      </w:r>
    </w:p>
    <w:p w14:paraId="15C07883" w14:textId="77777777" w:rsidR="00AE7C39" w:rsidRPr="00434A50" w:rsidRDefault="00AE7C39" w:rsidP="00AE7C39">
      <w:pPr>
        <w:numPr>
          <w:ilvl w:val="0"/>
          <w:numId w:val="1"/>
        </w:numPr>
        <w:spacing w:before="100" w:beforeAutospacing="1" w:after="100" w:afterAutospacing="1"/>
        <w:rPr>
          <w:rFonts w:asciiTheme="minorHAnsi" w:eastAsia="Times New Roman" w:hAnsiTheme="minorHAnsi" w:cstheme="minorHAnsi"/>
          <w:b/>
          <w:bCs/>
          <w:color w:val="000000"/>
          <w:sz w:val="22"/>
          <w:szCs w:val="22"/>
        </w:rPr>
      </w:pPr>
      <w:r w:rsidRPr="00434A50">
        <w:rPr>
          <w:rFonts w:asciiTheme="minorHAnsi" w:eastAsia="Times New Roman" w:hAnsiTheme="minorHAnsi" w:cstheme="minorHAnsi"/>
          <w:b/>
          <w:bCs/>
          <w:color w:val="000000"/>
          <w:sz w:val="22"/>
          <w:szCs w:val="22"/>
        </w:rPr>
        <w:t>Is the rubric in the RFA what the reviewers will use to score proposals?</w:t>
      </w:r>
    </w:p>
    <w:p w14:paraId="13DBE760" w14:textId="70C4E9F3" w:rsidR="00AE7C39" w:rsidRPr="00CA0ED6" w:rsidRDefault="00AE7C39" w:rsidP="00CC4631">
      <w:pPr>
        <w:spacing w:before="100" w:beforeAutospacing="1" w:after="100" w:afterAutospacing="1"/>
        <w:ind w:firstLine="720"/>
        <w:rPr>
          <w:rFonts w:asciiTheme="minorHAnsi" w:hAnsiTheme="minorHAnsi" w:cstheme="minorHAnsi"/>
          <w:color w:val="C00000"/>
          <w:sz w:val="22"/>
          <w:szCs w:val="22"/>
        </w:rPr>
      </w:pPr>
      <w:r w:rsidRPr="00CA0ED6">
        <w:rPr>
          <w:rFonts w:asciiTheme="minorHAnsi" w:hAnsiTheme="minorHAnsi" w:cstheme="minorHAnsi"/>
          <w:color w:val="C00000"/>
          <w:sz w:val="22"/>
          <w:szCs w:val="22"/>
        </w:rPr>
        <w:t xml:space="preserve">Yes, the rubric in the RFA will be used by reviewers to score the applications received. </w:t>
      </w:r>
    </w:p>
    <w:p w14:paraId="7DC219A4" w14:textId="464E3AA1" w:rsidR="00346C47" w:rsidRPr="0049570A" w:rsidRDefault="00346C47" w:rsidP="0049570A">
      <w:pPr>
        <w:pStyle w:val="ListParagraph"/>
        <w:numPr>
          <w:ilvl w:val="0"/>
          <w:numId w:val="1"/>
        </w:numPr>
        <w:spacing w:before="100" w:beforeAutospacing="1" w:after="100" w:afterAutospacing="1"/>
        <w:rPr>
          <w:rFonts w:asciiTheme="minorHAnsi" w:eastAsiaTheme="minorHAnsi" w:hAnsiTheme="minorHAnsi" w:cstheme="minorHAnsi"/>
          <w:b/>
          <w:bCs/>
          <w:sz w:val="22"/>
          <w:szCs w:val="22"/>
        </w:rPr>
      </w:pPr>
      <w:r w:rsidRPr="00434A50">
        <w:rPr>
          <w:rFonts w:asciiTheme="minorHAnsi" w:hAnsiTheme="minorHAnsi" w:cstheme="minorHAnsi"/>
          <w:b/>
          <w:bCs/>
          <w:sz w:val="22"/>
          <w:szCs w:val="22"/>
        </w:rPr>
        <w:t>Could you please define “1.0 spacing”?</w:t>
      </w:r>
    </w:p>
    <w:p w14:paraId="11C91E2B" w14:textId="521C2BEC" w:rsidR="00DD278C" w:rsidRPr="0049570A" w:rsidRDefault="0049570A" w:rsidP="0049570A">
      <w:pPr>
        <w:spacing w:before="100" w:beforeAutospacing="1" w:after="100" w:afterAutospacing="1"/>
        <w:ind w:left="720"/>
        <w:rPr>
          <w:rFonts w:asciiTheme="minorHAnsi" w:hAnsiTheme="minorHAnsi" w:cstheme="minorHAnsi"/>
          <w:color w:val="C00000"/>
          <w:sz w:val="22"/>
          <w:szCs w:val="22"/>
        </w:rPr>
      </w:pPr>
      <w:r w:rsidRPr="0049570A">
        <w:rPr>
          <w:rFonts w:asciiTheme="minorHAnsi" w:hAnsiTheme="minorHAnsi" w:cstheme="minorHAnsi"/>
          <w:color w:val="C00000"/>
          <w:sz w:val="22"/>
          <w:szCs w:val="22"/>
        </w:rPr>
        <w:t xml:space="preserve">1.0 </w:t>
      </w:r>
      <w:r w:rsidR="00824006" w:rsidRPr="0049570A">
        <w:rPr>
          <w:rFonts w:asciiTheme="minorHAnsi" w:hAnsiTheme="minorHAnsi" w:cstheme="minorHAnsi"/>
          <w:color w:val="C00000"/>
          <w:sz w:val="22"/>
          <w:szCs w:val="22"/>
        </w:rPr>
        <w:t>spacing means single line spacing.</w:t>
      </w:r>
    </w:p>
    <w:p w14:paraId="2E35794E" w14:textId="77777777" w:rsidR="00AA4E55" w:rsidRPr="00434A50" w:rsidRDefault="00AA4E55" w:rsidP="00AA4E55">
      <w:pPr>
        <w:pStyle w:val="ListParagraph"/>
        <w:numPr>
          <w:ilvl w:val="0"/>
          <w:numId w:val="1"/>
        </w:numPr>
        <w:rPr>
          <w:rFonts w:asciiTheme="minorHAnsi" w:eastAsiaTheme="minorHAnsi" w:hAnsiTheme="minorHAnsi" w:cstheme="minorHAnsi"/>
          <w:b/>
          <w:bCs/>
          <w:color w:val="000000"/>
          <w:sz w:val="22"/>
          <w:szCs w:val="22"/>
        </w:rPr>
      </w:pPr>
      <w:r w:rsidRPr="00434A50">
        <w:rPr>
          <w:rFonts w:asciiTheme="minorHAnsi" w:hAnsiTheme="minorHAnsi" w:cstheme="minorHAnsi"/>
          <w:b/>
          <w:bCs/>
          <w:color w:val="000000"/>
          <w:sz w:val="22"/>
          <w:szCs w:val="22"/>
        </w:rPr>
        <w:t xml:space="preserve">May 10 point font be used in tables? </w:t>
      </w:r>
    </w:p>
    <w:p w14:paraId="1C07E9DB" w14:textId="77777777" w:rsidR="00AA4E55" w:rsidRPr="00434A50" w:rsidRDefault="00AA4E55" w:rsidP="00AA4E55">
      <w:pPr>
        <w:pStyle w:val="ListParagraph"/>
        <w:rPr>
          <w:rFonts w:asciiTheme="minorHAnsi" w:eastAsiaTheme="minorHAnsi" w:hAnsiTheme="minorHAnsi" w:cstheme="minorHAnsi"/>
          <w:color w:val="000000"/>
          <w:sz w:val="22"/>
          <w:szCs w:val="22"/>
        </w:rPr>
      </w:pPr>
    </w:p>
    <w:p w14:paraId="5FBD8511" w14:textId="512A92BC" w:rsidR="00AA4E55" w:rsidRPr="0049570A" w:rsidRDefault="00AA4E55" w:rsidP="00AA4E55">
      <w:pPr>
        <w:pStyle w:val="ListParagraph"/>
        <w:rPr>
          <w:rFonts w:asciiTheme="minorHAnsi" w:hAnsiTheme="minorHAnsi" w:cstheme="minorHAnsi"/>
          <w:color w:val="C00000"/>
          <w:sz w:val="22"/>
          <w:szCs w:val="22"/>
        </w:rPr>
      </w:pPr>
      <w:r w:rsidRPr="0049570A">
        <w:rPr>
          <w:rFonts w:asciiTheme="minorHAnsi" w:hAnsiTheme="minorHAnsi" w:cstheme="minorHAnsi"/>
          <w:color w:val="C00000"/>
          <w:sz w:val="22"/>
          <w:szCs w:val="22"/>
        </w:rPr>
        <w:t>10 point font is acceptable for tables.</w:t>
      </w:r>
    </w:p>
    <w:p w14:paraId="6FA40981" w14:textId="77777777" w:rsidR="00AA4E55" w:rsidRPr="00434A50" w:rsidRDefault="00AA4E55" w:rsidP="00AA4E55">
      <w:pPr>
        <w:pStyle w:val="ListParagraph"/>
        <w:rPr>
          <w:rFonts w:asciiTheme="minorHAnsi" w:eastAsiaTheme="minorHAnsi" w:hAnsiTheme="minorHAnsi" w:cstheme="minorHAnsi"/>
          <w:color w:val="000000"/>
          <w:sz w:val="22"/>
          <w:szCs w:val="22"/>
        </w:rPr>
      </w:pPr>
    </w:p>
    <w:p w14:paraId="258146FC" w14:textId="3DC0A887" w:rsidR="00AA4E55" w:rsidRPr="00434A50" w:rsidRDefault="00AA4E55" w:rsidP="00AA4E55">
      <w:pPr>
        <w:pStyle w:val="ListParagraph"/>
        <w:numPr>
          <w:ilvl w:val="0"/>
          <w:numId w:val="1"/>
        </w:numPr>
        <w:rPr>
          <w:rFonts w:asciiTheme="minorHAnsi" w:hAnsiTheme="minorHAnsi" w:cstheme="minorHAnsi"/>
          <w:b/>
          <w:bCs/>
          <w:sz w:val="22"/>
          <w:szCs w:val="22"/>
        </w:rPr>
      </w:pPr>
      <w:r w:rsidRPr="00434A50">
        <w:rPr>
          <w:rFonts w:asciiTheme="minorHAnsi" w:hAnsiTheme="minorHAnsi" w:cstheme="minorHAnsi"/>
          <w:b/>
          <w:bCs/>
          <w:sz w:val="22"/>
          <w:szCs w:val="22"/>
        </w:rPr>
        <w:lastRenderedPageBreak/>
        <w:t xml:space="preserve">Are the grant funds of federal or state origin? </w:t>
      </w:r>
    </w:p>
    <w:p w14:paraId="230E250D" w14:textId="77777777" w:rsidR="00AA4E55" w:rsidRPr="00434A50" w:rsidRDefault="00AA4E55" w:rsidP="00AA4E55">
      <w:pPr>
        <w:pStyle w:val="ListParagraph"/>
        <w:rPr>
          <w:rFonts w:asciiTheme="minorHAnsi" w:hAnsiTheme="minorHAnsi" w:cstheme="minorHAnsi"/>
          <w:color w:val="FF0000"/>
          <w:sz w:val="22"/>
          <w:szCs w:val="22"/>
        </w:rPr>
      </w:pPr>
    </w:p>
    <w:p w14:paraId="0FEF4AC5" w14:textId="125B211F" w:rsidR="00AA4E55" w:rsidRPr="0049570A" w:rsidRDefault="00AA4E55" w:rsidP="00AA4E55">
      <w:pPr>
        <w:pStyle w:val="ListParagraph"/>
        <w:tabs>
          <w:tab w:val="center" w:pos="5040"/>
        </w:tabs>
        <w:rPr>
          <w:rFonts w:asciiTheme="minorHAnsi" w:hAnsiTheme="minorHAnsi" w:cstheme="minorHAnsi"/>
          <w:color w:val="C00000"/>
          <w:sz w:val="22"/>
          <w:szCs w:val="22"/>
        </w:rPr>
      </w:pPr>
      <w:r w:rsidRPr="0049570A">
        <w:rPr>
          <w:rFonts w:asciiTheme="minorHAnsi" w:hAnsiTheme="minorHAnsi" w:cstheme="minorHAnsi"/>
          <w:color w:val="C00000"/>
          <w:sz w:val="22"/>
          <w:szCs w:val="22"/>
        </w:rPr>
        <w:t>Federal Title IV</w:t>
      </w:r>
      <w:r w:rsidR="00571DF9">
        <w:rPr>
          <w:rFonts w:asciiTheme="minorHAnsi" w:hAnsiTheme="minorHAnsi" w:cstheme="minorHAnsi"/>
          <w:color w:val="C00000"/>
          <w:sz w:val="22"/>
          <w:szCs w:val="22"/>
        </w:rPr>
        <w:t xml:space="preserve">, Part </w:t>
      </w:r>
      <w:r w:rsidRPr="0049570A">
        <w:rPr>
          <w:rFonts w:asciiTheme="minorHAnsi" w:hAnsiTheme="minorHAnsi" w:cstheme="minorHAnsi"/>
          <w:color w:val="C00000"/>
          <w:sz w:val="22"/>
          <w:szCs w:val="22"/>
        </w:rPr>
        <w:t xml:space="preserve">A </w:t>
      </w:r>
      <w:r w:rsidR="00674A4C">
        <w:rPr>
          <w:rFonts w:asciiTheme="minorHAnsi" w:hAnsiTheme="minorHAnsi" w:cstheme="minorHAnsi"/>
          <w:color w:val="C00000"/>
          <w:sz w:val="22"/>
          <w:szCs w:val="22"/>
        </w:rPr>
        <w:t xml:space="preserve">state activities </w:t>
      </w:r>
      <w:r w:rsidRPr="0049570A">
        <w:rPr>
          <w:rFonts w:asciiTheme="minorHAnsi" w:hAnsiTheme="minorHAnsi" w:cstheme="minorHAnsi"/>
          <w:color w:val="C00000"/>
          <w:sz w:val="22"/>
          <w:szCs w:val="22"/>
        </w:rPr>
        <w:t xml:space="preserve">funds </w:t>
      </w:r>
      <w:r w:rsidR="00571DF9">
        <w:rPr>
          <w:rFonts w:asciiTheme="minorHAnsi" w:hAnsiTheme="minorHAnsi" w:cstheme="minorHAnsi"/>
          <w:color w:val="C00000"/>
          <w:sz w:val="22"/>
          <w:szCs w:val="22"/>
        </w:rPr>
        <w:t xml:space="preserve">are </w:t>
      </w:r>
      <w:r w:rsidR="00674A4C">
        <w:rPr>
          <w:rFonts w:asciiTheme="minorHAnsi" w:hAnsiTheme="minorHAnsi" w:cstheme="minorHAnsi"/>
          <w:color w:val="C00000"/>
          <w:sz w:val="22"/>
          <w:szCs w:val="22"/>
        </w:rPr>
        <w:t>the source</w:t>
      </w:r>
      <w:r w:rsidR="00571DF9">
        <w:rPr>
          <w:rFonts w:asciiTheme="minorHAnsi" w:hAnsiTheme="minorHAnsi" w:cstheme="minorHAnsi"/>
          <w:color w:val="C00000"/>
          <w:sz w:val="22"/>
          <w:szCs w:val="22"/>
        </w:rPr>
        <w:t xml:space="preserve"> for these mini-grants.</w:t>
      </w:r>
      <w:r w:rsidRPr="0049570A">
        <w:rPr>
          <w:rFonts w:asciiTheme="minorHAnsi" w:hAnsiTheme="minorHAnsi" w:cstheme="minorHAnsi"/>
          <w:color w:val="C00000"/>
          <w:sz w:val="22"/>
          <w:szCs w:val="22"/>
        </w:rPr>
        <w:tab/>
      </w:r>
    </w:p>
    <w:p w14:paraId="1BC9F5CA" w14:textId="7E4BB132" w:rsidR="00AA4E55" w:rsidRPr="005F7221" w:rsidRDefault="00AA4E55" w:rsidP="00AA4E55">
      <w:pPr>
        <w:tabs>
          <w:tab w:val="center" w:pos="5040"/>
        </w:tabs>
        <w:rPr>
          <w:rFonts w:asciiTheme="minorHAnsi" w:hAnsiTheme="minorHAnsi" w:cstheme="minorHAnsi"/>
          <w:b/>
          <w:bCs/>
          <w:color w:val="FF0000"/>
          <w:sz w:val="22"/>
          <w:szCs w:val="22"/>
        </w:rPr>
      </w:pPr>
    </w:p>
    <w:p w14:paraId="0E0BCB31" w14:textId="225FFC27" w:rsidR="00134665" w:rsidRPr="005F7221" w:rsidRDefault="00134665" w:rsidP="00134665">
      <w:pPr>
        <w:pStyle w:val="ListParagraph"/>
        <w:numPr>
          <w:ilvl w:val="0"/>
          <w:numId w:val="1"/>
        </w:numPr>
        <w:rPr>
          <w:rFonts w:asciiTheme="minorHAnsi" w:eastAsia="Times New Roman" w:hAnsiTheme="minorHAnsi" w:cstheme="minorHAnsi"/>
          <w:b/>
          <w:bCs/>
          <w:color w:val="000000"/>
          <w:sz w:val="22"/>
          <w:szCs w:val="22"/>
        </w:rPr>
      </w:pPr>
      <w:r w:rsidRPr="005F7221">
        <w:rPr>
          <w:rFonts w:asciiTheme="minorHAnsi" w:eastAsia="Times New Roman" w:hAnsiTheme="minorHAnsi" w:cstheme="minorHAnsi"/>
          <w:b/>
          <w:bCs/>
          <w:color w:val="000000"/>
          <w:sz w:val="22"/>
          <w:szCs w:val="22"/>
        </w:rPr>
        <w:t>Can we pay for fuel costs</w:t>
      </w:r>
      <w:r w:rsidR="003821FC" w:rsidRPr="005F7221">
        <w:rPr>
          <w:rFonts w:asciiTheme="minorHAnsi" w:eastAsia="Times New Roman" w:hAnsiTheme="minorHAnsi" w:cstheme="minorHAnsi"/>
          <w:b/>
          <w:bCs/>
          <w:color w:val="000000"/>
          <w:sz w:val="22"/>
          <w:szCs w:val="22"/>
        </w:rPr>
        <w:t xml:space="preserve"> </w:t>
      </w:r>
      <w:r w:rsidRPr="005F7221">
        <w:rPr>
          <w:rFonts w:asciiTheme="minorHAnsi" w:eastAsia="Times New Roman" w:hAnsiTheme="minorHAnsi" w:cstheme="minorHAnsi"/>
          <w:b/>
          <w:bCs/>
          <w:color w:val="000000"/>
          <w:sz w:val="22"/>
          <w:szCs w:val="22"/>
        </w:rPr>
        <w:t>with the grant money?</w:t>
      </w:r>
    </w:p>
    <w:p w14:paraId="00F14D55" w14:textId="77777777" w:rsidR="005F7221" w:rsidRDefault="005F7221" w:rsidP="00B16B14">
      <w:pPr>
        <w:pStyle w:val="ListParagraph"/>
        <w:rPr>
          <w:color w:val="FF0000"/>
          <w:sz w:val="22"/>
          <w:szCs w:val="22"/>
        </w:rPr>
      </w:pPr>
    </w:p>
    <w:p w14:paraId="1050C807" w14:textId="1B372048" w:rsidR="00B16B14" w:rsidRPr="006E0024" w:rsidRDefault="00B16B14" w:rsidP="00B16B14">
      <w:pPr>
        <w:pStyle w:val="ListParagraph"/>
        <w:rPr>
          <w:rFonts w:eastAsiaTheme="minorHAnsi" w:cs="Times New Roman"/>
          <w:color w:val="C00000"/>
        </w:rPr>
      </w:pPr>
      <w:r w:rsidRPr="006E0024">
        <w:rPr>
          <w:color w:val="C00000"/>
        </w:rPr>
        <w:t xml:space="preserve">Yes, as long as the activity cannot be carried out without the transportation; and the transportation costs are not supplanting/replacing the traditional transportation provided by the school system, </w:t>
      </w:r>
      <w:r w:rsidR="002617FE">
        <w:rPr>
          <w:color w:val="C00000"/>
        </w:rPr>
        <w:t>(</w:t>
      </w:r>
      <w:r w:rsidRPr="006E0024">
        <w:rPr>
          <w:color w:val="C00000"/>
        </w:rPr>
        <w:t>i.e., going to and from school during school hours</w:t>
      </w:r>
      <w:r w:rsidR="002617FE">
        <w:rPr>
          <w:color w:val="C00000"/>
        </w:rPr>
        <w:t>)</w:t>
      </w:r>
      <w:r w:rsidR="00425DC8" w:rsidRPr="006E0024">
        <w:rPr>
          <w:color w:val="C00000"/>
        </w:rPr>
        <w:t xml:space="preserve"> </w:t>
      </w:r>
      <w:r w:rsidRPr="006E0024">
        <w:rPr>
          <w:color w:val="C00000"/>
        </w:rPr>
        <w:t>then it is permissible. </w:t>
      </w:r>
      <w:r w:rsidR="00425DC8" w:rsidRPr="006E0024">
        <w:rPr>
          <w:color w:val="C00000"/>
        </w:rPr>
        <w:t>However, if transportation is being used to support activities that are supplemental in nature (e.g., wraparound and intervention activities</w:t>
      </w:r>
      <w:r w:rsidR="000965E2" w:rsidRPr="006E0024">
        <w:rPr>
          <w:color w:val="C00000"/>
        </w:rPr>
        <w:t xml:space="preserve"> such as tutoring and mental health services) then that is permissible.  </w:t>
      </w:r>
    </w:p>
    <w:p w14:paraId="660FAC2C" w14:textId="77777777" w:rsidR="00571CA3" w:rsidRPr="00571CA3" w:rsidRDefault="00571CA3" w:rsidP="00BA2866">
      <w:pPr>
        <w:rPr>
          <w:rFonts w:eastAsiaTheme="minorHAnsi"/>
          <w:color w:val="FF0000"/>
          <w:sz w:val="22"/>
          <w:szCs w:val="22"/>
        </w:rPr>
      </w:pPr>
    </w:p>
    <w:p w14:paraId="6EBFECF9" w14:textId="6FA6EEC0" w:rsidR="00434A50" w:rsidRPr="00BD61D7" w:rsidRDefault="00434A50" w:rsidP="00434A50">
      <w:pPr>
        <w:pStyle w:val="NormalWeb"/>
        <w:numPr>
          <w:ilvl w:val="0"/>
          <w:numId w:val="1"/>
        </w:numPr>
        <w:spacing w:before="0" w:beforeAutospacing="0" w:after="320" w:afterAutospacing="0"/>
        <w:rPr>
          <w:rFonts w:asciiTheme="minorHAnsi" w:hAnsiTheme="minorHAnsi" w:cstheme="minorHAnsi"/>
          <w:b/>
          <w:bCs/>
        </w:rPr>
      </w:pPr>
      <w:r w:rsidRPr="00BD61D7">
        <w:rPr>
          <w:rFonts w:asciiTheme="minorHAnsi" w:hAnsiTheme="minorHAnsi" w:cstheme="minorHAnsi"/>
          <w:b/>
          <w:bCs/>
        </w:rPr>
        <w:t>May footnotes for references listed in the narrative be placed in the 1” margin/footer at the bottom of the page?</w:t>
      </w:r>
    </w:p>
    <w:p w14:paraId="72221EE1" w14:textId="1B6A007B" w:rsidR="00E96877" w:rsidRPr="0049570A" w:rsidRDefault="00E96877" w:rsidP="00E96877">
      <w:pPr>
        <w:pStyle w:val="NormalWeb"/>
        <w:spacing w:before="0" w:beforeAutospacing="0" w:after="320" w:afterAutospacing="0"/>
        <w:ind w:left="720"/>
        <w:rPr>
          <w:rFonts w:asciiTheme="minorHAnsi" w:hAnsiTheme="minorHAnsi" w:cstheme="minorHAnsi"/>
          <w:color w:val="C00000"/>
        </w:rPr>
      </w:pPr>
      <w:r w:rsidRPr="0049570A">
        <w:rPr>
          <w:rFonts w:asciiTheme="minorHAnsi" w:hAnsiTheme="minorHAnsi" w:cstheme="minorHAnsi"/>
          <w:color w:val="C00000"/>
        </w:rPr>
        <w:t>Yes</w:t>
      </w:r>
      <w:r w:rsidR="00AA17B6">
        <w:rPr>
          <w:rFonts w:asciiTheme="minorHAnsi" w:hAnsiTheme="minorHAnsi" w:cstheme="minorHAnsi"/>
          <w:color w:val="C00000"/>
        </w:rPr>
        <w:t>.</w:t>
      </w:r>
    </w:p>
    <w:p w14:paraId="53F3028B" w14:textId="1C6F480B" w:rsidR="00434A50" w:rsidRPr="00BD61D7" w:rsidRDefault="00434A50" w:rsidP="00434A50">
      <w:pPr>
        <w:pStyle w:val="NormalWeb"/>
        <w:numPr>
          <w:ilvl w:val="0"/>
          <w:numId w:val="1"/>
        </w:numPr>
        <w:spacing w:before="0" w:beforeAutospacing="0" w:after="320" w:afterAutospacing="0"/>
        <w:rPr>
          <w:rFonts w:asciiTheme="minorHAnsi" w:hAnsiTheme="minorHAnsi" w:cstheme="minorHAnsi"/>
          <w:b/>
          <w:bCs/>
        </w:rPr>
      </w:pPr>
      <w:r w:rsidRPr="00BD61D7">
        <w:rPr>
          <w:rFonts w:asciiTheme="minorHAnsi" w:hAnsiTheme="minorHAnsi" w:cstheme="minorHAnsi"/>
          <w:b/>
          <w:bCs/>
        </w:rPr>
        <w:t>Is the application intended to focus on only the student re-engagement piece of Persistence to Graduation, or may strategies from the other three areas be included?</w:t>
      </w:r>
    </w:p>
    <w:p w14:paraId="18F8B4C6" w14:textId="77777777" w:rsidR="00FF2473" w:rsidRDefault="00E811BB" w:rsidP="005F7221">
      <w:pPr>
        <w:pStyle w:val="ListParagraph"/>
        <w:spacing w:after="320"/>
        <w:rPr>
          <w:rFonts w:asciiTheme="minorHAnsi" w:hAnsiTheme="minorHAnsi" w:cs="Arial"/>
          <w:color w:val="C00000"/>
          <w:sz w:val="22"/>
          <w:szCs w:val="22"/>
        </w:rPr>
      </w:pPr>
      <w:r w:rsidRPr="00E811BB">
        <w:rPr>
          <w:rFonts w:asciiTheme="minorHAnsi" w:hAnsiTheme="minorHAnsi" w:cs="Arial"/>
          <w:color w:val="C00000"/>
          <w:sz w:val="22"/>
          <w:szCs w:val="22"/>
        </w:rPr>
        <w:t xml:space="preserve">These funds are intended to provide specific, targeted supports and interventions for students who have a prior drop-out status, are at risk of dropping out, or have been unreachable since the COVID-19 shelter at home orders. The primary aim of the grant is increasing the numbers of students becoming re-engaged in the educational process towards graduation. </w:t>
      </w:r>
      <w:r w:rsidR="00FF2473" w:rsidRPr="00FF2473">
        <w:rPr>
          <w:rFonts w:asciiTheme="minorHAnsi" w:hAnsiTheme="minorHAnsi" w:cs="Arial"/>
          <w:color w:val="C00000"/>
          <w:sz w:val="22"/>
          <w:szCs w:val="22"/>
        </w:rPr>
        <w:t>Funds are available to support activities in middle schools, high schools, and alternative education programs.</w:t>
      </w:r>
      <w:r w:rsidR="00FF2473">
        <w:rPr>
          <w:rFonts w:asciiTheme="minorHAnsi" w:hAnsiTheme="minorHAnsi" w:cs="Arial"/>
          <w:color w:val="C00000"/>
          <w:sz w:val="22"/>
          <w:szCs w:val="22"/>
        </w:rPr>
        <w:t xml:space="preserve">  </w:t>
      </w:r>
    </w:p>
    <w:p w14:paraId="4ABDFC2E" w14:textId="77777777" w:rsidR="00FF2473" w:rsidRDefault="00FF2473" w:rsidP="005F7221">
      <w:pPr>
        <w:pStyle w:val="ListParagraph"/>
        <w:spacing w:after="320"/>
        <w:rPr>
          <w:rFonts w:asciiTheme="minorHAnsi" w:hAnsiTheme="minorHAnsi" w:cs="Arial"/>
          <w:color w:val="C00000"/>
          <w:sz w:val="22"/>
          <w:szCs w:val="22"/>
        </w:rPr>
      </w:pPr>
    </w:p>
    <w:p w14:paraId="2DC30727" w14:textId="39EEABEE" w:rsidR="005F7221" w:rsidRPr="00FE2BAF" w:rsidRDefault="00FF2473" w:rsidP="005F7221">
      <w:pPr>
        <w:pStyle w:val="ListParagraph"/>
        <w:spacing w:after="320"/>
        <w:rPr>
          <w:rFonts w:asciiTheme="minorHAnsi" w:eastAsiaTheme="minorHAnsi" w:hAnsiTheme="minorHAnsi" w:cs="Times New Roman"/>
          <w:color w:val="C00000"/>
          <w:sz w:val="22"/>
          <w:szCs w:val="22"/>
        </w:rPr>
      </w:pPr>
      <w:r>
        <w:rPr>
          <w:rFonts w:asciiTheme="minorHAnsi" w:hAnsiTheme="minorHAnsi" w:cs="Arial"/>
          <w:color w:val="C00000"/>
          <w:sz w:val="22"/>
          <w:szCs w:val="22"/>
        </w:rPr>
        <w:t>KDE produced practice briefs in four areas related to Persistence to Graduation</w:t>
      </w:r>
      <w:r w:rsidR="0007140D">
        <w:rPr>
          <w:rFonts w:asciiTheme="minorHAnsi" w:hAnsiTheme="minorHAnsi" w:cs="Arial"/>
          <w:color w:val="C00000"/>
          <w:sz w:val="22"/>
          <w:szCs w:val="22"/>
        </w:rPr>
        <w:t xml:space="preserve"> (alternative education, community partnerships, culture and climate, and student transitions and reengagement)</w:t>
      </w:r>
      <w:r w:rsidR="008E4CCC">
        <w:rPr>
          <w:rFonts w:asciiTheme="minorHAnsi" w:hAnsiTheme="minorHAnsi" w:cs="Arial"/>
          <w:color w:val="C00000"/>
          <w:sz w:val="22"/>
          <w:szCs w:val="22"/>
        </w:rPr>
        <w:t xml:space="preserve"> as resource</w:t>
      </w:r>
      <w:r w:rsidR="00081002">
        <w:rPr>
          <w:rFonts w:asciiTheme="minorHAnsi" w:hAnsiTheme="minorHAnsi" w:cs="Arial"/>
          <w:color w:val="C00000"/>
          <w:sz w:val="22"/>
          <w:szCs w:val="22"/>
        </w:rPr>
        <w:t>s</w:t>
      </w:r>
      <w:r w:rsidR="008E4CCC">
        <w:rPr>
          <w:rFonts w:asciiTheme="minorHAnsi" w:hAnsiTheme="minorHAnsi" w:cs="Arial"/>
          <w:color w:val="C00000"/>
          <w:sz w:val="22"/>
          <w:szCs w:val="22"/>
        </w:rPr>
        <w:t xml:space="preserve"> </w:t>
      </w:r>
      <w:r w:rsidR="00081002">
        <w:rPr>
          <w:rFonts w:asciiTheme="minorHAnsi" w:hAnsiTheme="minorHAnsi" w:cs="Arial"/>
          <w:color w:val="C00000"/>
          <w:sz w:val="22"/>
          <w:szCs w:val="22"/>
        </w:rPr>
        <w:t>for</w:t>
      </w:r>
      <w:r w:rsidR="008E4CCC">
        <w:rPr>
          <w:rFonts w:asciiTheme="minorHAnsi" w:hAnsiTheme="minorHAnsi" w:cs="Arial"/>
          <w:color w:val="C00000"/>
          <w:sz w:val="22"/>
          <w:szCs w:val="22"/>
        </w:rPr>
        <w:t xml:space="preserve"> Kentucky educators engaged in dropout prevention work, but there are o</w:t>
      </w:r>
      <w:r w:rsidR="005F7221" w:rsidRPr="00FE2BAF">
        <w:rPr>
          <w:rFonts w:asciiTheme="minorHAnsi" w:hAnsiTheme="minorHAnsi" w:cs="Arial"/>
          <w:color w:val="C00000"/>
          <w:sz w:val="22"/>
          <w:szCs w:val="22"/>
        </w:rPr>
        <w:t xml:space="preserve">ther strategies </w:t>
      </w:r>
      <w:r w:rsidR="008E4CCC">
        <w:rPr>
          <w:rFonts w:asciiTheme="minorHAnsi" w:hAnsiTheme="minorHAnsi" w:cs="Arial"/>
          <w:color w:val="C00000"/>
          <w:sz w:val="22"/>
          <w:szCs w:val="22"/>
        </w:rPr>
        <w:t>that</w:t>
      </w:r>
      <w:r w:rsidR="005F7221" w:rsidRPr="00FE2BAF">
        <w:rPr>
          <w:rFonts w:asciiTheme="minorHAnsi" w:hAnsiTheme="minorHAnsi" w:cs="Arial"/>
          <w:color w:val="C00000"/>
          <w:sz w:val="22"/>
          <w:szCs w:val="22"/>
        </w:rPr>
        <w:t xml:space="preserve"> may be the focus</w:t>
      </w:r>
      <w:r w:rsidR="008E4CCC">
        <w:rPr>
          <w:rFonts w:asciiTheme="minorHAnsi" w:hAnsiTheme="minorHAnsi" w:cs="Arial"/>
          <w:color w:val="C00000"/>
          <w:sz w:val="22"/>
          <w:szCs w:val="22"/>
        </w:rPr>
        <w:t xml:space="preserve"> of the proposed re-engagement project</w:t>
      </w:r>
      <w:r w:rsidR="005F7221" w:rsidRPr="00FE2BAF">
        <w:rPr>
          <w:rFonts w:asciiTheme="minorHAnsi" w:hAnsiTheme="minorHAnsi" w:cs="Arial"/>
          <w:color w:val="C00000"/>
          <w:sz w:val="22"/>
          <w:szCs w:val="22"/>
        </w:rPr>
        <w:t>. Specifically, please see the list under “</w:t>
      </w:r>
      <w:r w:rsidR="00081002">
        <w:rPr>
          <w:rFonts w:asciiTheme="minorHAnsi" w:hAnsiTheme="minorHAnsi" w:cs="Arial"/>
          <w:color w:val="C00000"/>
          <w:sz w:val="22"/>
          <w:szCs w:val="22"/>
        </w:rPr>
        <w:t>A</w:t>
      </w:r>
      <w:r w:rsidR="005F7221" w:rsidRPr="00FE2BAF">
        <w:rPr>
          <w:rFonts w:asciiTheme="minorHAnsi" w:hAnsiTheme="minorHAnsi" w:cs="Arial"/>
          <w:color w:val="C00000"/>
          <w:sz w:val="22"/>
          <w:szCs w:val="22"/>
        </w:rPr>
        <w:t xml:space="preserve">llowable </w:t>
      </w:r>
      <w:r w:rsidR="00081002">
        <w:rPr>
          <w:rFonts w:asciiTheme="minorHAnsi" w:hAnsiTheme="minorHAnsi" w:cs="Arial"/>
          <w:color w:val="C00000"/>
          <w:sz w:val="22"/>
          <w:szCs w:val="22"/>
        </w:rPr>
        <w:t>U</w:t>
      </w:r>
      <w:r w:rsidR="005F7221" w:rsidRPr="00FE2BAF">
        <w:rPr>
          <w:rFonts w:asciiTheme="minorHAnsi" w:hAnsiTheme="minorHAnsi" w:cs="Arial"/>
          <w:color w:val="C00000"/>
          <w:sz w:val="22"/>
          <w:szCs w:val="22"/>
        </w:rPr>
        <w:t xml:space="preserve">se of </w:t>
      </w:r>
      <w:r w:rsidR="00081002">
        <w:rPr>
          <w:rFonts w:asciiTheme="minorHAnsi" w:hAnsiTheme="minorHAnsi" w:cs="Arial"/>
          <w:color w:val="C00000"/>
          <w:sz w:val="22"/>
          <w:szCs w:val="22"/>
        </w:rPr>
        <w:t>F</w:t>
      </w:r>
      <w:r w:rsidR="005F7221" w:rsidRPr="00FE2BAF">
        <w:rPr>
          <w:rFonts w:asciiTheme="minorHAnsi" w:hAnsiTheme="minorHAnsi" w:cs="Arial"/>
          <w:color w:val="C00000"/>
          <w:sz w:val="22"/>
          <w:szCs w:val="22"/>
        </w:rPr>
        <w:t>unds”</w:t>
      </w:r>
      <w:r w:rsidR="00081002">
        <w:rPr>
          <w:rFonts w:asciiTheme="minorHAnsi" w:hAnsiTheme="minorHAnsi" w:cs="Arial"/>
          <w:color w:val="C00000"/>
          <w:sz w:val="22"/>
          <w:szCs w:val="22"/>
        </w:rPr>
        <w:t xml:space="preserve"> in the RFA for strategies that</w:t>
      </w:r>
      <w:r w:rsidR="005F7221" w:rsidRPr="00FE2BAF">
        <w:rPr>
          <w:rFonts w:asciiTheme="minorHAnsi" w:hAnsiTheme="minorHAnsi" w:cs="Arial"/>
          <w:color w:val="C00000"/>
          <w:sz w:val="22"/>
          <w:szCs w:val="22"/>
        </w:rPr>
        <w:t xml:space="preserve"> will be given priority. </w:t>
      </w:r>
      <w:r w:rsidR="002413C1">
        <w:rPr>
          <w:rFonts w:asciiTheme="minorHAnsi" w:hAnsiTheme="minorHAnsi" w:cs="Arial"/>
          <w:color w:val="C00000"/>
          <w:sz w:val="22"/>
          <w:szCs w:val="22"/>
        </w:rPr>
        <w:t>Applicants may also want to consider strategies mentioned in the “Resources” section of the RFA for strategies that may work best for the students identified</w:t>
      </w:r>
      <w:r w:rsidR="00081002">
        <w:rPr>
          <w:rFonts w:asciiTheme="minorHAnsi" w:hAnsiTheme="minorHAnsi" w:cs="Arial"/>
          <w:color w:val="C00000"/>
          <w:sz w:val="22"/>
          <w:szCs w:val="22"/>
        </w:rPr>
        <w:t xml:space="preserve"> for the project.</w:t>
      </w:r>
    </w:p>
    <w:p w14:paraId="2CB57287" w14:textId="7B39016B" w:rsidR="00434A50" w:rsidRPr="00BD61D7" w:rsidRDefault="00434A50" w:rsidP="00434A50">
      <w:pPr>
        <w:pStyle w:val="NormalWeb"/>
        <w:numPr>
          <w:ilvl w:val="0"/>
          <w:numId w:val="1"/>
        </w:numPr>
        <w:spacing w:before="0" w:beforeAutospacing="0" w:after="320" w:afterAutospacing="0"/>
        <w:rPr>
          <w:rFonts w:asciiTheme="minorHAnsi" w:hAnsiTheme="minorHAnsi" w:cstheme="minorHAnsi"/>
          <w:b/>
          <w:bCs/>
        </w:rPr>
      </w:pPr>
      <w:r w:rsidRPr="00BD61D7">
        <w:rPr>
          <w:rFonts w:asciiTheme="minorHAnsi" w:hAnsiTheme="minorHAnsi" w:cstheme="minorHAnsi"/>
          <w:b/>
          <w:bCs/>
        </w:rPr>
        <w:t>May we use data from 18-19 (instead of data from 19-20) if it is the most comprehensive data?  (For example, the chronic absenteeism rates for 19-20 were impacted by the use of NTI instruction and would not be as accurate as data from 18-19.)</w:t>
      </w:r>
    </w:p>
    <w:p w14:paraId="54F85151" w14:textId="69E5F320" w:rsidR="00E96877" w:rsidRPr="00FE2BAF" w:rsidRDefault="00E96877" w:rsidP="00E96877">
      <w:pPr>
        <w:pStyle w:val="NormalWeb"/>
        <w:spacing w:before="0" w:beforeAutospacing="0" w:after="320" w:afterAutospacing="0"/>
        <w:ind w:left="720"/>
        <w:rPr>
          <w:rFonts w:asciiTheme="minorHAnsi" w:hAnsiTheme="minorHAnsi" w:cstheme="minorHAnsi"/>
          <w:color w:val="C00000"/>
        </w:rPr>
      </w:pPr>
      <w:r w:rsidRPr="00FE2BAF">
        <w:rPr>
          <w:rFonts w:asciiTheme="minorHAnsi" w:hAnsiTheme="minorHAnsi" w:cstheme="minorHAnsi"/>
          <w:color w:val="C00000"/>
        </w:rPr>
        <w:t>Yes</w:t>
      </w:r>
      <w:r w:rsidR="00DB7721">
        <w:rPr>
          <w:rFonts w:asciiTheme="minorHAnsi" w:hAnsiTheme="minorHAnsi" w:cstheme="minorHAnsi"/>
          <w:color w:val="C00000"/>
        </w:rPr>
        <w:t>, however applicants are encouraged to consider data that identify students who</w:t>
      </w:r>
      <w:r w:rsidR="003824EA">
        <w:rPr>
          <w:rFonts w:asciiTheme="minorHAnsi" w:hAnsiTheme="minorHAnsi" w:cstheme="minorHAnsi"/>
          <w:color w:val="C00000"/>
        </w:rPr>
        <w:t>se engagement in school was</w:t>
      </w:r>
      <w:r w:rsidR="00DB7721">
        <w:rPr>
          <w:rFonts w:asciiTheme="minorHAnsi" w:hAnsiTheme="minorHAnsi" w:cstheme="minorHAnsi"/>
          <w:color w:val="C00000"/>
        </w:rPr>
        <w:t xml:space="preserve"> most impacted by the </w:t>
      </w:r>
      <w:r w:rsidR="003824EA">
        <w:rPr>
          <w:rFonts w:asciiTheme="minorHAnsi" w:hAnsiTheme="minorHAnsi" w:cstheme="minorHAnsi"/>
          <w:color w:val="C00000"/>
        </w:rPr>
        <w:t>COVID-19 pandemic.</w:t>
      </w:r>
    </w:p>
    <w:p w14:paraId="6C5D9F45" w14:textId="51421E32" w:rsidR="003821FC" w:rsidRPr="00BD61D7" w:rsidRDefault="00434A50" w:rsidP="00434A50">
      <w:pPr>
        <w:pStyle w:val="NormalWeb"/>
        <w:numPr>
          <w:ilvl w:val="0"/>
          <w:numId w:val="1"/>
        </w:numPr>
        <w:spacing w:before="0" w:beforeAutospacing="0" w:after="320" w:afterAutospacing="0"/>
        <w:rPr>
          <w:rFonts w:asciiTheme="minorHAnsi" w:hAnsiTheme="minorHAnsi" w:cstheme="minorHAnsi"/>
          <w:b/>
          <w:bCs/>
        </w:rPr>
      </w:pPr>
      <w:r w:rsidRPr="00BD61D7">
        <w:rPr>
          <w:rFonts w:asciiTheme="minorHAnsi" w:hAnsiTheme="minorHAnsi" w:cstheme="minorHAnsi"/>
          <w:b/>
          <w:bCs/>
        </w:rPr>
        <w:t>May an application include other data points beyond the sources listed in Part 2 of the RFA?</w:t>
      </w:r>
    </w:p>
    <w:p w14:paraId="38D9B93C" w14:textId="7FB58564" w:rsidR="001A0745" w:rsidRPr="00FE2BAF" w:rsidRDefault="00E96877" w:rsidP="00C14286">
      <w:pPr>
        <w:pStyle w:val="ListParagraph"/>
        <w:rPr>
          <w:rFonts w:eastAsia="Times New Roman"/>
          <w:color w:val="C00000"/>
          <w:sz w:val="22"/>
          <w:szCs w:val="22"/>
        </w:rPr>
      </w:pPr>
      <w:r w:rsidRPr="00FE2BAF">
        <w:rPr>
          <w:rFonts w:eastAsia="Times New Roman"/>
          <w:color w:val="C00000"/>
          <w:sz w:val="22"/>
          <w:szCs w:val="22"/>
        </w:rPr>
        <w:lastRenderedPageBreak/>
        <w:t>Yes</w:t>
      </w:r>
      <w:r w:rsidR="003824EA">
        <w:rPr>
          <w:rFonts w:eastAsia="Times New Roman"/>
          <w:color w:val="C00000"/>
          <w:sz w:val="22"/>
          <w:szCs w:val="22"/>
        </w:rPr>
        <w:t>, districts are encouraged to use any relevant data that can be used to identify students in need</w:t>
      </w:r>
      <w:r w:rsidR="001B510E">
        <w:rPr>
          <w:rFonts w:eastAsia="Times New Roman"/>
          <w:color w:val="C00000"/>
          <w:sz w:val="22"/>
          <w:szCs w:val="22"/>
        </w:rPr>
        <w:t xml:space="preserve"> of re-engagement support</w:t>
      </w:r>
      <w:r w:rsidR="003824EA">
        <w:rPr>
          <w:rFonts w:eastAsia="Times New Roman"/>
          <w:color w:val="C00000"/>
          <w:sz w:val="22"/>
          <w:szCs w:val="22"/>
        </w:rPr>
        <w:t>.</w:t>
      </w:r>
    </w:p>
    <w:p w14:paraId="2F16F5D5" w14:textId="77777777" w:rsidR="005F7221" w:rsidRPr="00E96877" w:rsidRDefault="005F7221" w:rsidP="00C14286">
      <w:pPr>
        <w:pStyle w:val="ListParagraph"/>
        <w:rPr>
          <w:rFonts w:eastAsia="Times New Roman"/>
          <w:color w:val="FF0000"/>
          <w:sz w:val="22"/>
          <w:szCs w:val="22"/>
        </w:rPr>
      </w:pPr>
    </w:p>
    <w:p w14:paraId="05454B26" w14:textId="08A813D2" w:rsidR="00262470" w:rsidRPr="00262470" w:rsidRDefault="00262470" w:rsidP="00262470">
      <w:pPr>
        <w:pStyle w:val="ListParagraph"/>
        <w:numPr>
          <w:ilvl w:val="0"/>
          <w:numId w:val="1"/>
        </w:numPr>
        <w:rPr>
          <w:rFonts w:eastAsia="Times New Roman" w:cs="Times New Roman"/>
          <w:b/>
          <w:bCs/>
          <w:sz w:val="22"/>
          <w:szCs w:val="22"/>
        </w:rPr>
      </w:pPr>
      <w:r w:rsidRPr="00262470">
        <w:rPr>
          <w:rFonts w:eastAsia="Times New Roman"/>
          <w:b/>
          <w:bCs/>
          <w:sz w:val="22"/>
          <w:szCs w:val="22"/>
        </w:rPr>
        <w:t>Can these funds be used for staffing?</w:t>
      </w:r>
    </w:p>
    <w:p w14:paraId="10663850" w14:textId="77777777" w:rsidR="005F7221" w:rsidRDefault="005F7221" w:rsidP="00262470">
      <w:pPr>
        <w:ind w:firstLine="360"/>
        <w:rPr>
          <w:color w:val="FF0000"/>
          <w:sz w:val="22"/>
          <w:szCs w:val="22"/>
        </w:rPr>
      </w:pPr>
    </w:p>
    <w:p w14:paraId="6C1F6B42" w14:textId="77777777" w:rsidR="00463B9F" w:rsidRPr="00FE2BAF" w:rsidRDefault="00262470" w:rsidP="00463B9F">
      <w:pPr>
        <w:ind w:firstLine="720"/>
        <w:rPr>
          <w:color w:val="C00000"/>
          <w:sz w:val="22"/>
          <w:szCs w:val="22"/>
        </w:rPr>
      </w:pPr>
      <w:r w:rsidRPr="00FE2BAF">
        <w:rPr>
          <w:color w:val="C00000"/>
          <w:sz w:val="22"/>
          <w:szCs w:val="22"/>
        </w:rPr>
        <w:t xml:space="preserve">Yes, only if this is for a new position or to supplement a current role within the district. </w:t>
      </w:r>
    </w:p>
    <w:p w14:paraId="5D78563D" w14:textId="77777777" w:rsidR="00463B9F" w:rsidRDefault="00463B9F" w:rsidP="00463B9F">
      <w:pPr>
        <w:ind w:firstLine="720"/>
        <w:rPr>
          <w:color w:val="FF0000"/>
          <w:sz w:val="22"/>
          <w:szCs w:val="22"/>
        </w:rPr>
      </w:pPr>
    </w:p>
    <w:p w14:paraId="29B6DB3E" w14:textId="2130CCCC" w:rsidR="008C6C5E" w:rsidRPr="00463B9F" w:rsidRDefault="0097001F">
      <w:pPr>
        <w:pStyle w:val="ListParagraph"/>
        <w:numPr>
          <w:ilvl w:val="0"/>
          <w:numId w:val="1"/>
        </w:numPr>
        <w:rPr>
          <w:rFonts w:eastAsia="Times New Roman" w:cs="Times New Roman"/>
          <w:b/>
          <w:bCs/>
          <w:color w:val="FF0000"/>
          <w:sz w:val="22"/>
          <w:szCs w:val="22"/>
        </w:rPr>
      </w:pPr>
      <w:r w:rsidRPr="00463B9F">
        <w:rPr>
          <w:rFonts w:eastAsia="Times New Roman"/>
          <w:b/>
          <w:bCs/>
          <w:sz w:val="22"/>
          <w:szCs w:val="22"/>
        </w:rPr>
        <w:t>Is there a preferred age range for projects supported through this grant?</w:t>
      </w:r>
    </w:p>
    <w:p w14:paraId="3D6EA0D2" w14:textId="581C7952" w:rsidR="005F7221" w:rsidRDefault="005F7221" w:rsidP="008C6C5E">
      <w:pPr>
        <w:pStyle w:val="ListParagraph"/>
        <w:rPr>
          <w:rFonts w:eastAsia="Times New Roman"/>
          <w:sz w:val="22"/>
          <w:szCs w:val="22"/>
        </w:rPr>
      </w:pPr>
    </w:p>
    <w:p w14:paraId="325CBE3E" w14:textId="77777777" w:rsidR="007A6F08" w:rsidRDefault="001B510E" w:rsidP="00BA2866">
      <w:pPr>
        <w:pStyle w:val="ListParagraph"/>
        <w:contextualSpacing w:val="0"/>
        <w:rPr>
          <w:rFonts w:eastAsia="Times New Roman"/>
          <w:color w:val="C00000"/>
          <w:sz w:val="22"/>
          <w:szCs w:val="22"/>
        </w:rPr>
      </w:pPr>
      <w:r w:rsidRPr="001B510E">
        <w:rPr>
          <w:rFonts w:eastAsia="Times New Roman"/>
          <w:color w:val="C00000"/>
          <w:sz w:val="22"/>
          <w:szCs w:val="22"/>
        </w:rPr>
        <w:t>Funds are available to support activities in middle schools, high schools, and alternative education programs.</w:t>
      </w:r>
      <w:r w:rsidR="007A6F08">
        <w:rPr>
          <w:rFonts w:eastAsia="Times New Roman"/>
          <w:color w:val="C00000"/>
          <w:sz w:val="22"/>
          <w:szCs w:val="22"/>
        </w:rPr>
        <w:t xml:space="preserve"> </w:t>
      </w:r>
    </w:p>
    <w:p w14:paraId="68D3099F" w14:textId="77777777" w:rsidR="0097001F" w:rsidRPr="008C6C5E" w:rsidRDefault="0097001F" w:rsidP="00BA2866">
      <w:pPr>
        <w:pStyle w:val="ListParagraph"/>
        <w:contextualSpacing w:val="0"/>
        <w:rPr>
          <w:rFonts w:eastAsiaTheme="minorHAnsi"/>
          <w:sz w:val="22"/>
          <w:szCs w:val="22"/>
        </w:rPr>
      </w:pPr>
    </w:p>
    <w:p w14:paraId="702AB48B" w14:textId="2ABB30F6" w:rsidR="008C6C5E" w:rsidRPr="008C6C5E" w:rsidRDefault="0097001F" w:rsidP="0097001F">
      <w:pPr>
        <w:numPr>
          <w:ilvl w:val="0"/>
          <w:numId w:val="1"/>
        </w:numPr>
        <w:rPr>
          <w:rFonts w:eastAsia="Times New Roman"/>
          <w:b/>
          <w:bCs/>
          <w:sz w:val="22"/>
          <w:szCs w:val="22"/>
        </w:rPr>
      </w:pPr>
      <w:r w:rsidRPr="008C6C5E">
        <w:rPr>
          <w:rFonts w:eastAsia="Times New Roman"/>
          <w:b/>
          <w:bCs/>
          <w:sz w:val="22"/>
          <w:szCs w:val="22"/>
        </w:rPr>
        <w:t>Can we wo</w:t>
      </w:r>
      <w:r w:rsidR="003B5269">
        <w:rPr>
          <w:rFonts w:eastAsia="Times New Roman"/>
          <w:b/>
          <w:bCs/>
          <w:sz w:val="22"/>
          <w:szCs w:val="22"/>
        </w:rPr>
        <w:t>rk with students ages 16 to 24?</w:t>
      </w:r>
    </w:p>
    <w:p w14:paraId="2A733B4A" w14:textId="77777777" w:rsidR="005F7221" w:rsidRDefault="005F7221" w:rsidP="008C6C5E">
      <w:pPr>
        <w:ind w:left="720"/>
        <w:rPr>
          <w:rFonts w:eastAsia="Times New Roman"/>
          <w:color w:val="FF0000"/>
          <w:sz w:val="22"/>
          <w:szCs w:val="22"/>
        </w:rPr>
      </w:pPr>
    </w:p>
    <w:p w14:paraId="03251572" w14:textId="6B74CA17" w:rsidR="0097001F" w:rsidRPr="00FE2BAF" w:rsidRDefault="0097001F" w:rsidP="008C6C5E">
      <w:pPr>
        <w:ind w:left="720"/>
        <w:rPr>
          <w:rFonts w:eastAsia="Times New Roman"/>
          <w:color w:val="C00000"/>
          <w:sz w:val="22"/>
          <w:szCs w:val="22"/>
        </w:rPr>
      </w:pPr>
      <w:r w:rsidRPr="00FE2BAF">
        <w:rPr>
          <w:rFonts w:eastAsia="Times New Roman"/>
          <w:color w:val="C00000"/>
          <w:sz w:val="22"/>
          <w:szCs w:val="22"/>
        </w:rPr>
        <w:t>This grant can support students</w:t>
      </w:r>
      <w:r w:rsidR="00882178">
        <w:rPr>
          <w:rFonts w:eastAsia="Times New Roman"/>
          <w:color w:val="C00000"/>
          <w:sz w:val="22"/>
          <w:szCs w:val="22"/>
        </w:rPr>
        <w:t xml:space="preserve"> of any age as long as they were enrolled in the district</w:t>
      </w:r>
      <w:r w:rsidR="00674A4C">
        <w:rPr>
          <w:rFonts w:eastAsia="Times New Roman"/>
          <w:color w:val="C00000"/>
          <w:sz w:val="22"/>
          <w:szCs w:val="22"/>
        </w:rPr>
        <w:t xml:space="preserve"> during SY 19-20 and have</w:t>
      </w:r>
      <w:r w:rsidR="00BC105D">
        <w:rPr>
          <w:rFonts w:eastAsia="Times New Roman"/>
          <w:color w:val="C00000"/>
          <w:sz w:val="22"/>
          <w:szCs w:val="22"/>
        </w:rPr>
        <w:t xml:space="preserve"> not yet earned a diploma.</w:t>
      </w:r>
    </w:p>
    <w:p w14:paraId="40B4737B" w14:textId="77777777" w:rsidR="0097001F" w:rsidRPr="008C6C5E" w:rsidRDefault="0097001F" w:rsidP="0097001F">
      <w:pPr>
        <w:rPr>
          <w:rFonts w:eastAsiaTheme="minorHAnsi"/>
          <w:sz w:val="22"/>
          <w:szCs w:val="22"/>
        </w:rPr>
      </w:pPr>
    </w:p>
    <w:p w14:paraId="46F7D042" w14:textId="77777777" w:rsidR="008C6C5E" w:rsidRPr="008C6C5E" w:rsidRDefault="0097001F" w:rsidP="0097001F">
      <w:pPr>
        <w:numPr>
          <w:ilvl w:val="0"/>
          <w:numId w:val="1"/>
        </w:numPr>
        <w:rPr>
          <w:rFonts w:eastAsia="Times New Roman"/>
          <w:b/>
          <w:bCs/>
          <w:sz w:val="22"/>
          <w:szCs w:val="22"/>
        </w:rPr>
      </w:pPr>
      <w:r w:rsidRPr="008C6C5E">
        <w:rPr>
          <w:rFonts w:eastAsia="Times New Roman"/>
          <w:b/>
          <w:bCs/>
          <w:sz w:val="22"/>
          <w:szCs w:val="22"/>
        </w:rPr>
        <w:t xml:space="preserve">Our project would be led at the district level by the Department of Pupil Personnel and adult education division. Can the assistant superintendents who oversee those divisions sign the principal assurance form as opposed to individual principals? The grant is not targeted at one specific school but instead could impact all of the district’s high schools. Principals will not be overseeing the work. </w:t>
      </w:r>
    </w:p>
    <w:p w14:paraId="6A69860F" w14:textId="77777777" w:rsidR="005F7221" w:rsidRDefault="005F7221" w:rsidP="008C6C5E">
      <w:pPr>
        <w:ind w:left="720"/>
        <w:rPr>
          <w:rFonts w:eastAsia="Times New Roman"/>
          <w:color w:val="FF0000"/>
          <w:sz w:val="22"/>
          <w:szCs w:val="22"/>
        </w:rPr>
      </w:pPr>
    </w:p>
    <w:p w14:paraId="65BF10F2" w14:textId="56B167A2" w:rsidR="0097001F" w:rsidRPr="00FE2BAF" w:rsidRDefault="008C6C5E" w:rsidP="008C6C5E">
      <w:pPr>
        <w:ind w:left="720"/>
        <w:rPr>
          <w:rFonts w:eastAsia="Times New Roman"/>
          <w:color w:val="C00000"/>
          <w:sz w:val="22"/>
          <w:szCs w:val="22"/>
        </w:rPr>
      </w:pPr>
      <w:r w:rsidRPr="00FE2BAF">
        <w:rPr>
          <w:rFonts w:eastAsia="Times New Roman"/>
          <w:color w:val="C00000"/>
          <w:sz w:val="22"/>
          <w:szCs w:val="22"/>
        </w:rPr>
        <w:t>Y</w:t>
      </w:r>
      <w:r w:rsidR="0097001F" w:rsidRPr="00FE2BAF">
        <w:rPr>
          <w:rFonts w:eastAsia="Times New Roman"/>
          <w:color w:val="C00000"/>
          <w:sz w:val="22"/>
          <w:szCs w:val="22"/>
        </w:rPr>
        <w:t>es</w:t>
      </w:r>
      <w:r w:rsidR="00B3295D">
        <w:rPr>
          <w:rFonts w:eastAsia="Times New Roman"/>
          <w:color w:val="C00000"/>
          <w:sz w:val="22"/>
          <w:szCs w:val="22"/>
        </w:rPr>
        <w:t>.</w:t>
      </w:r>
      <w:r w:rsidR="0097001F" w:rsidRPr="00FE2BAF">
        <w:rPr>
          <w:rFonts w:eastAsia="Times New Roman"/>
          <w:color w:val="C00000"/>
          <w:sz w:val="22"/>
          <w:szCs w:val="22"/>
        </w:rPr>
        <w:t xml:space="preserve"> </w:t>
      </w:r>
    </w:p>
    <w:p w14:paraId="4879D3A9" w14:textId="5150A2AC" w:rsidR="00AE7C39" w:rsidRDefault="00AE7C39" w:rsidP="00AE7C39"/>
    <w:p w14:paraId="31FB940C" w14:textId="77777777" w:rsidR="00AD2E79" w:rsidRPr="00BD4C2C" w:rsidRDefault="00AD2E79" w:rsidP="00AD2E79">
      <w:pPr>
        <w:pStyle w:val="ListParagraph"/>
        <w:numPr>
          <w:ilvl w:val="0"/>
          <w:numId w:val="1"/>
        </w:numPr>
        <w:contextualSpacing w:val="0"/>
        <w:rPr>
          <w:b/>
          <w:bCs/>
          <w:sz w:val="22"/>
          <w:szCs w:val="22"/>
        </w:rPr>
      </w:pPr>
      <w:r w:rsidRPr="00BD4C2C">
        <w:rPr>
          <w:b/>
          <w:bCs/>
          <w:sz w:val="22"/>
          <w:szCs w:val="22"/>
        </w:rPr>
        <w:t>May we include letters of support with our application?</w:t>
      </w:r>
    </w:p>
    <w:p w14:paraId="2FF3502E" w14:textId="77777777" w:rsidR="00AD2E79" w:rsidRDefault="00AD2E79" w:rsidP="00AD2E79">
      <w:pPr>
        <w:ind w:left="720"/>
        <w:rPr>
          <w:color w:val="C00000"/>
          <w:sz w:val="22"/>
          <w:szCs w:val="22"/>
        </w:rPr>
      </w:pPr>
    </w:p>
    <w:p w14:paraId="1B6B6302" w14:textId="0C017BB4" w:rsidR="00AD2E79" w:rsidRPr="00FE2BAF" w:rsidRDefault="00AD2E79" w:rsidP="00AD2E79">
      <w:pPr>
        <w:ind w:left="720"/>
        <w:rPr>
          <w:color w:val="C00000"/>
          <w:sz w:val="22"/>
          <w:szCs w:val="22"/>
        </w:rPr>
      </w:pPr>
      <w:r w:rsidRPr="00FE2BAF">
        <w:rPr>
          <w:color w:val="C00000"/>
          <w:sz w:val="22"/>
          <w:szCs w:val="22"/>
        </w:rPr>
        <w:t>Letters of support may be attached but will not be scored or improve an applicant’s score during the application review process.</w:t>
      </w:r>
      <w:r>
        <w:rPr>
          <w:color w:val="C00000"/>
          <w:sz w:val="22"/>
          <w:szCs w:val="22"/>
        </w:rPr>
        <w:br/>
      </w:r>
    </w:p>
    <w:p w14:paraId="208DBFA3" w14:textId="77777777" w:rsidR="00AD2E79" w:rsidRPr="00BD61D7" w:rsidRDefault="00AD2E79" w:rsidP="00AD2E79">
      <w:pPr>
        <w:pStyle w:val="NormalWeb"/>
        <w:numPr>
          <w:ilvl w:val="0"/>
          <w:numId w:val="1"/>
        </w:numPr>
        <w:spacing w:before="0" w:beforeAutospacing="0" w:after="320" w:afterAutospacing="0"/>
        <w:rPr>
          <w:rFonts w:asciiTheme="minorHAnsi" w:hAnsiTheme="minorHAnsi" w:cstheme="minorHAnsi"/>
          <w:b/>
          <w:bCs/>
        </w:rPr>
      </w:pPr>
      <w:r w:rsidRPr="00BD61D7">
        <w:rPr>
          <w:rFonts w:asciiTheme="minorHAnsi" w:hAnsiTheme="minorHAnsi" w:cstheme="minorHAnsi"/>
          <w:b/>
          <w:bCs/>
        </w:rPr>
        <w:t>Per the RFA, allowable uses of funds (page 5) include, “Programming and supports for students or professional learning for staff that utilizes one or more of the promising practices for the re-engagement of students...</w:t>
      </w:r>
      <w:r>
        <w:rPr>
          <w:rFonts w:asciiTheme="minorHAnsi" w:hAnsiTheme="minorHAnsi" w:cstheme="minorHAnsi"/>
          <w:b/>
          <w:bCs/>
        </w:rPr>
        <w:t>.</w:t>
      </w:r>
      <w:r w:rsidRPr="00BD61D7">
        <w:rPr>
          <w:rFonts w:asciiTheme="minorHAnsi" w:hAnsiTheme="minorHAnsi" w:cstheme="minorHAnsi"/>
          <w:b/>
          <w:bCs/>
        </w:rPr>
        <w:t>”  This list of promising practices includes work-based learning opportunities and contextual learning.  Can funds be used to provide student wages for participation in work-based learning opportunities and to cover related costs of travel and/or materials to participate in contextual learning?</w:t>
      </w:r>
    </w:p>
    <w:p w14:paraId="6B8297AB" w14:textId="419CB4EA" w:rsidR="00AD2E79" w:rsidRPr="00D90B16" w:rsidRDefault="00AD2E79" w:rsidP="00D90B16">
      <w:pPr>
        <w:ind w:left="720"/>
        <w:rPr>
          <w:color w:val="C00000"/>
          <w:sz w:val="22"/>
          <w:szCs w:val="22"/>
        </w:rPr>
      </w:pPr>
      <w:r>
        <w:rPr>
          <w:color w:val="C00000"/>
          <w:sz w:val="22"/>
          <w:szCs w:val="22"/>
        </w:rPr>
        <w:t xml:space="preserve">Funds may be used for work-based learning opportunities or internships that are supplemental in nature (e.g. during non-school hours). Funds can be used for transportation </w:t>
      </w:r>
      <w:r w:rsidRPr="0049570A">
        <w:rPr>
          <w:color w:val="C00000"/>
          <w:sz w:val="22"/>
          <w:szCs w:val="22"/>
        </w:rPr>
        <w:t>as long as the activity cannot be carried out without the transportation; and the transportation costs are not supplanting/replacing the traditional transportatio</w:t>
      </w:r>
      <w:r>
        <w:rPr>
          <w:color w:val="C00000"/>
          <w:sz w:val="22"/>
          <w:szCs w:val="22"/>
        </w:rPr>
        <w:t>n provided by the school system</w:t>
      </w:r>
      <w:r w:rsidRPr="0049570A">
        <w:rPr>
          <w:color w:val="C00000"/>
          <w:sz w:val="22"/>
          <w:szCs w:val="22"/>
        </w:rPr>
        <w:t xml:space="preserve"> </w:t>
      </w:r>
      <w:r>
        <w:rPr>
          <w:color w:val="C00000"/>
          <w:sz w:val="22"/>
          <w:szCs w:val="22"/>
        </w:rPr>
        <w:t>(</w:t>
      </w:r>
      <w:r w:rsidRPr="0049570A">
        <w:rPr>
          <w:color w:val="C00000"/>
          <w:sz w:val="22"/>
          <w:szCs w:val="22"/>
        </w:rPr>
        <w:t>e.</w:t>
      </w:r>
      <w:r>
        <w:rPr>
          <w:color w:val="C00000"/>
          <w:sz w:val="22"/>
          <w:szCs w:val="22"/>
        </w:rPr>
        <w:t>g.</w:t>
      </w:r>
      <w:r w:rsidRPr="0049570A">
        <w:rPr>
          <w:color w:val="C00000"/>
          <w:sz w:val="22"/>
          <w:szCs w:val="22"/>
        </w:rPr>
        <w:t xml:space="preserve"> going to and from school during school hours</w:t>
      </w:r>
      <w:r>
        <w:rPr>
          <w:color w:val="C00000"/>
          <w:sz w:val="22"/>
          <w:szCs w:val="22"/>
        </w:rPr>
        <w:t xml:space="preserve"> would not be allowable). F</w:t>
      </w:r>
      <w:r w:rsidRPr="0049570A">
        <w:rPr>
          <w:color w:val="C00000"/>
          <w:sz w:val="22"/>
          <w:szCs w:val="22"/>
        </w:rPr>
        <w:t>unds may be used for materials to participate in contextual learning.</w:t>
      </w:r>
      <w:r>
        <w:rPr>
          <w:color w:val="C00000"/>
          <w:sz w:val="22"/>
          <w:szCs w:val="22"/>
        </w:rPr>
        <w:br/>
      </w:r>
    </w:p>
    <w:p w14:paraId="5191BEE9" w14:textId="32EC50FC" w:rsidR="00BD4C2C" w:rsidRPr="00BD4C2C" w:rsidRDefault="00BD4C2C" w:rsidP="00BD4C2C">
      <w:pPr>
        <w:pStyle w:val="ListParagraph"/>
        <w:numPr>
          <w:ilvl w:val="0"/>
          <w:numId w:val="1"/>
        </w:numPr>
        <w:rPr>
          <w:rFonts w:eastAsiaTheme="minorHAnsi"/>
          <w:b/>
          <w:bCs/>
          <w:sz w:val="22"/>
          <w:szCs w:val="22"/>
        </w:rPr>
      </w:pPr>
      <w:r w:rsidRPr="00BD4C2C">
        <w:rPr>
          <w:b/>
          <w:bCs/>
          <w:sz w:val="22"/>
          <w:szCs w:val="22"/>
        </w:rPr>
        <w:t xml:space="preserve">Are all incentives prohibited? We saw the RFP referenced items such as t-shirts. What about other types of student incentives or stipends for participation in programming? </w:t>
      </w:r>
    </w:p>
    <w:p w14:paraId="76177B1A" w14:textId="77777777" w:rsidR="00BD4C2C" w:rsidRPr="00BD4C2C" w:rsidRDefault="00BD4C2C" w:rsidP="00BD4C2C">
      <w:pPr>
        <w:ind w:left="360"/>
        <w:rPr>
          <w:rFonts w:eastAsia="Times New Roman"/>
          <w:color w:val="FF0000"/>
          <w:sz w:val="22"/>
          <w:szCs w:val="22"/>
        </w:rPr>
      </w:pPr>
    </w:p>
    <w:p w14:paraId="564A3A15" w14:textId="77777777" w:rsidR="002C1124" w:rsidRDefault="00BA2866" w:rsidP="00CE409B">
      <w:pPr>
        <w:ind w:left="720"/>
        <w:rPr>
          <w:color w:val="C00000"/>
          <w:sz w:val="22"/>
          <w:szCs w:val="22"/>
        </w:rPr>
      </w:pPr>
      <w:r w:rsidRPr="00BA2866">
        <w:rPr>
          <w:rFonts w:eastAsia="Times New Roman"/>
          <w:color w:val="C00000"/>
          <w:sz w:val="22"/>
          <w:szCs w:val="22"/>
        </w:rPr>
        <w:lastRenderedPageBreak/>
        <w:t xml:space="preserve">Federal funds may be used for incentives so long as the incentives are nominal and are tied to student achievement. To justify these types of incentives, they must be both “necessary and reasonable.” Additionally, the reward cannot be cash, cash stipends, or gift cards and may not be used for entertainment that serves no programmatic purpose. </w:t>
      </w:r>
      <w:r w:rsidRPr="00BA2866">
        <w:rPr>
          <w:color w:val="C00000"/>
          <w:sz w:val="22"/>
          <w:szCs w:val="22"/>
        </w:rPr>
        <w:t xml:space="preserve">Paying students an incentive or stipend such as cash </w:t>
      </w:r>
      <w:r w:rsidR="00156FC3">
        <w:rPr>
          <w:color w:val="C00000"/>
          <w:sz w:val="22"/>
          <w:szCs w:val="22"/>
        </w:rPr>
        <w:t xml:space="preserve">simply </w:t>
      </w:r>
      <w:r w:rsidRPr="00BA2866">
        <w:rPr>
          <w:color w:val="C00000"/>
          <w:sz w:val="22"/>
          <w:szCs w:val="22"/>
        </w:rPr>
        <w:t xml:space="preserve">to participate would not be a permissible activity. </w:t>
      </w:r>
    </w:p>
    <w:p w14:paraId="235AB4D6" w14:textId="77777777" w:rsidR="002C1124" w:rsidRDefault="002C1124" w:rsidP="00CE409B">
      <w:pPr>
        <w:ind w:left="720"/>
        <w:rPr>
          <w:color w:val="C00000"/>
          <w:sz w:val="22"/>
          <w:szCs w:val="22"/>
        </w:rPr>
      </w:pPr>
    </w:p>
    <w:p w14:paraId="7AB5AB2C" w14:textId="78A3149D" w:rsidR="00BA2866" w:rsidRPr="00CE409B" w:rsidRDefault="00F7268B" w:rsidP="00CE409B">
      <w:pPr>
        <w:ind w:left="720"/>
        <w:rPr>
          <w:rFonts w:eastAsiaTheme="minorHAnsi" w:cs="Times New Roman"/>
          <w:color w:val="C00000"/>
          <w:sz w:val="22"/>
          <w:szCs w:val="22"/>
        </w:rPr>
      </w:pPr>
      <w:r>
        <w:rPr>
          <w:color w:val="C00000"/>
          <w:sz w:val="22"/>
          <w:szCs w:val="22"/>
        </w:rPr>
        <w:t>S</w:t>
      </w:r>
      <w:r w:rsidR="00BA2866" w:rsidRPr="00BA2866">
        <w:rPr>
          <w:color w:val="C00000"/>
          <w:sz w:val="22"/>
          <w:szCs w:val="22"/>
        </w:rPr>
        <w:t xml:space="preserve">tipends are </w:t>
      </w:r>
      <w:r>
        <w:rPr>
          <w:color w:val="C00000"/>
          <w:sz w:val="22"/>
          <w:szCs w:val="22"/>
        </w:rPr>
        <w:t xml:space="preserve">only </w:t>
      </w:r>
      <w:r w:rsidR="00BA2866" w:rsidRPr="00BA2866">
        <w:rPr>
          <w:color w:val="C00000"/>
          <w:sz w:val="22"/>
          <w:szCs w:val="22"/>
        </w:rPr>
        <w:t>permissible for student wages for on</w:t>
      </w:r>
      <w:r w:rsidR="005156EA">
        <w:rPr>
          <w:color w:val="C00000"/>
          <w:sz w:val="22"/>
          <w:szCs w:val="22"/>
        </w:rPr>
        <w:t>-</w:t>
      </w:r>
      <w:r w:rsidR="00BA2866" w:rsidRPr="00BA2866">
        <w:rPr>
          <w:color w:val="C00000"/>
          <w:sz w:val="22"/>
          <w:szCs w:val="22"/>
        </w:rPr>
        <w:t>the</w:t>
      </w:r>
      <w:r w:rsidR="005156EA">
        <w:rPr>
          <w:color w:val="C00000"/>
          <w:sz w:val="22"/>
          <w:szCs w:val="22"/>
        </w:rPr>
        <w:t>-</w:t>
      </w:r>
      <w:r w:rsidR="00BA2866" w:rsidRPr="00BA2866">
        <w:rPr>
          <w:color w:val="C00000"/>
          <w:sz w:val="22"/>
          <w:szCs w:val="22"/>
        </w:rPr>
        <w:t>job learning that would enhance student achievement</w:t>
      </w:r>
      <w:r>
        <w:rPr>
          <w:color w:val="C00000"/>
          <w:sz w:val="22"/>
          <w:szCs w:val="22"/>
        </w:rPr>
        <w:t>,</w:t>
      </w:r>
      <w:r w:rsidR="00BA2866" w:rsidRPr="00BA2866">
        <w:rPr>
          <w:color w:val="C00000"/>
          <w:sz w:val="22"/>
          <w:szCs w:val="22"/>
        </w:rPr>
        <w:t xml:space="preserve"> such as obtaining knowledge in a particular job field</w:t>
      </w:r>
      <w:r>
        <w:rPr>
          <w:color w:val="C00000"/>
          <w:sz w:val="22"/>
          <w:szCs w:val="22"/>
        </w:rPr>
        <w:t>, and occur</w:t>
      </w:r>
      <w:r w:rsidR="002C1124">
        <w:rPr>
          <w:color w:val="C00000"/>
          <w:sz w:val="22"/>
          <w:szCs w:val="22"/>
        </w:rPr>
        <w:t>s</w:t>
      </w:r>
      <w:r>
        <w:rPr>
          <w:color w:val="C00000"/>
          <w:sz w:val="22"/>
          <w:szCs w:val="22"/>
        </w:rPr>
        <w:t xml:space="preserve"> as </w:t>
      </w:r>
      <w:r w:rsidR="00CE409B">
        <w:rPr>
          <w:color w:val="C00000"/>
          <w:sz w:val="22"/>
          <w:szCs w:val="22"/>
        </w:rPr>
        <w:t>a supplemental service during non-school time</w:t>
      </w:r>
      <w:r w:rsidR="00BA2866" w:rsidRPr="00BA2866">
        <w:rPr>
          <w:color w:val="C00000"/>
          <w:sz w:val="22"/>
          <w:szCs w:val="22"/>
        </w:rPr>
        <w:t xml:space="preserve">. </w:t>
      </w:r>
    </w:p>
    <w:p w14:paraId="1D7D7B27" w14:textId="7BC62BC9" w:rsidR="00BD4C2C" w:rsidRDefault="00BD4C2C" w:rsidP="00AE7C39"/>
    <w:p w14:paraId="7C8AB228" w14:textId="183AD8E4" w:rsidR="00BD4C2C" w:rsidRDefault="000A257C" w:rsidP="000A257C">
      <w:pPr>
        <w:pStyle w:val="ListParagraph"/>
        <w:numPr>
          <w:ilvl w:val="0"/>
          <w:numId w:val="1"/>
        </w:numPr>
        <w:rPr>
          <w:b/>
          <w:bCs/>
          <w:sz w:val="22"/>
          <w:szCs w:val="22"/>
        </w:rPr>
      </w:pPr>
      <w:r w:rsidRPr="000A257C">
        <w:rPr>
          <w:b/>
          <w:bCs/>
          <w:sz w:val="22"/>
          <w:szCs w:val="22"/>
        </w:rPr>
        <w:t>Could grant money be used to pay students an hourly work wage?  We wish to have students employed to develop work ready skills but understand it is increasingly difficult for employment opportunities specifically during COVID 19.</w:t>
      </w:r>
    </w:p>
    <w:p w14:paraId="4CB0F51C" w14:textId="26AC2092" w:rsidR="000A257C" w:rsidRDefault="000A257C" w:rsidP="000A257C">
      <w:pPr>
        <w:rPr>
          <w:b/>
          <w:bCs/>
          <w:sz w:val="22"/>
          <w:szCs w:val="22"/>
        </w:rPr>
      </w:pPr>
    </w:p>
    <w:p w14:paraId="346A56AF" w14:textId="0C2765BA" w:rsidR="000A257C" w:rsidRPr="00FE2BAF" w:rsidRDefault="00F206CA" w:rsidP="000A257C">
      <w:pPr>
        <w:ind w:left="720"/>
        <w:rPr>
          <w:b/>
          <w:bCs/>
          <w:color w:val="C00000"/>
          <w:sz w:val="22"/>
          <w:szCs w:val="22"/>
        </w:rPr>
      </w:pPr>
      <w:r w:rsidRPr="00FE2BAF">
        <w:rPr>
          <w:color w:val="C00000"/>
          <w:sz w:val="22"/>
          <w:szCs w:val="22"/>
        </w:rPr>
        <w:t>Yes</w:t>
      </w:r>
      <w:r w:rsidR="00F800E3">
        <w:rPr>
          <w:color w:val="C00000"/>
          <w:sz w:val="22"/>
          <w:szCs w:val="22"/>
        </w:rPr>
        <w:t>,</w:t>
      </w:r>
      <w:r w:rsidRPr="00FE2BAF">
        <w:rPr>
          <w:color w:val="C00000"/>
          <w:sz w:val="22"/>
          <w:szCs w:val="22"/>
        </w:rPr>
        <w:t xml:space="preserve"> </w:t>
      </w:r>
      <w:r w:rsidR="00F800E3">
        <w:rPr>
          <w:color w:val="C00000"/>
          <w:sz w:val="22"/>
          <w:szCs w:val="22"/>
        </w:rPr>
        <w:t>funds can be used for</w:t>
      </w:r>
      <w:r w:rsidRPr="00FE2BAF">
        <w:rPr>
          <w:color w:val="C00000"/>
          <w:sz w:val="22"/>
          <w:szCs w:val="22"/>
        </w:rPr>
        <w:t xml:space="preserve"> student wages for interns</w:t>
      </w:r>
      <w:r w:rsidR="00F800E3">
        <w:rPr>
          <w:color w:val="C00000"/>
          <w:sz w:val="22"/>
          <w:szCs w:val="22"/>
        </w:rPr>
        <w:t>hips or work-based learning opportunities during non-school hours</w:t>
      </w:r>
      <w:r w:rsidRPr="00FE2BAF">
        <w:rPr>
          <w:color w:val="C00000"/>
          <w:sz w:val="22"/>
          <w:szCs w:val="22"/>
        </w:rPr>
        <w:t xml:space="preserve">. </w:t>
      </w:r>
    </w:p>
    <w:sectPr w:rsidR="000A257C" w:rsidRPr="00FE2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1AA0"/>
    <w:multiLevelType w:val="multilevel"/>
    <w:tmpl w:val="5AE09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C7FC8"/>
    <w:multiLevelType w:val="hybridMultilevel"/>
    <w:tmpl w:val="E416CD78"/>
    <w:lvl w:ilvl="0" w:tplc="22EE8D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F7958"/>
    <w:multiLevelType w:val="multilevel"/>
    <w:tmpl w:val="0ECA9A8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15:restartNumberingAfterBreak="0">
    <w:nsid w:val="51ED348C"/>
    <w:multiLevelType w:val="hybridMultilevel"/>
    <w:tmpl w:val="BA0CD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774E34"/>
    <w:multiLevelType w:val="hybridMultilevel"/>
    <w:tmpl w:val="7A0458AC"/>
    <w:lvl w:ilvl="0" w:tplc="108061B4">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CA"/>
    <w:rsid w:val="0007140D"/>
    <w:rsid w:val="00073F06"/>
    <w:rsid w:val="00081002"/>
    <w:rsid w:val="000965E2"/>
    <w:rsid w:val="000A257C"/>
    <w:rsid w:val="000D7322"/>
    <w:rsid w:val="00134665"/>
    <w:rsid w:val="00156FC3"/>
    <w:rsid w:val="001A0745"/>
    <w:rsid w:val="001B510E"/>
    <w:rsid w:val="001F0B74"/>
    <w:rsid w:val="002122CB"/>
    <w:rsid w:val="0023109C"/>
    <w:rsid w:val="002413C1"/>
    <w:rsid w:val="00252283"/>
    <w:rsid w:val="002617FE"/>
    <w:rsid w:val="00262470"/>
    <w:rsid w:val="00263A96"/>
    <w:rsid w:val="002A5FA1"/>
    <w:rsid w:val="002C1124"/>
    <w:rsid w:val="00311858"/>
    <w:rsid w:val="00346C47"/>
    <w:rsid w:val="0036045B"/>
    <w:rsid w:val="003821FC"/>
    <w:rsid w:val="003824EA"/>
    <w:rsid w:val="003A7F80"/>
    <w:rsid w:val="003B5269"/>
    <w:rsid w:val="003C74BB"/>
    <w:rsid w:val="003D094A"/>
    <w:rsid w:val="00400419"/>
    <w:rsid w:val="004018EF"/>
    <w:rsid w:val="00425DC8"/>
    <w:rsid w:val="004269BA"/>
    <w:rsid w:val="00434A50"/>
    <w:rsid w:val="00463B9F"/>
    <w:rsid w:val="0049570A"/>
    <w:rsid w:val="004C1D08"/>
    <w:rsid w:val="004C6943"/>
    <w:rsid w:val="00506CD0"/>
    <w:rsid w:val="005156EA"/>
    <w:rsid w:val="00571CA3"/>
    <w:rsid w:val="00571DF9"/>
    <w:rsid w:val="005C2CCA"/>
    <w:rsid w:val="005F7221"/>
    <w:rsid w:val="00674A4C"/>
    <w:rsid w:val="006D17FA"/>
    <w:rsid w:val="006E0024"/>
    <w:rsid w:val="00746C47"/>
    <w:rsid w:val="007A6F08"/>
    <w:rsid w:val="007C7F64"/>
    <w:rsid w:val="00811914"/>
    <w:rsid w:val="00821A42"/>
    <w:rsid w:val="00824006"/>
    <w:rsid w:val="00851CAD"/>
    <w:rsid w:val="00882178"/>
    <w:rsid w:val="008C6C5E"/>
    <w:rsid w:val="008E4CCC"/>
    <w:rsid w:val="008E6F89"/>
    <w:rsid w:val="009112C2"/>
    <w:rsid w:val="00927C9F"/>
    <w:rsid w:val="0097001F"/>
    <w:rsid w:val="009B1C6D"/>
    <w:rsid w:val="00AA17B6"/>
    <w:rsid w:val="00AA4E55"/>
    <w:rsid w:val="00AD2E79"/>
    <w:rsid w:val="00AE7C39"/>
    <w:rsid w:val="00B16B14"/>
    <w:rsid w:val="00B3295D"/>
    <w:rsid w:val="00B35D63"/>
    <w:rsid w:val="00B6007F"/>
    <w:rsid w:val="00B73BCD"/>
    <w:rsid w:val="00BA2866"/>
    <w:rsid w:val="00BC105D"/>
    <w:rsid w:val="00BD4C2C"/>
    <w:rsid w:val="00BD61D7"/>
    <w:rsid w:val="00BF539F"/>
    <w:rsid w:val="00C14286"/>
    <w:rsid w:val="00CA0ED6"/>
    <w:rsid w:val="00CA23CC"/>
    <w:rsid w:val="00CC4631"/>
    <w:rsid w:val="00CE409B"/>
    <w:rsid w:val="00D338BC"/>
    <w:rsid w:val="00D90B16"/>
    <w:rsid w:val="00DB7721"/>
    <w:rsid w:val="00DD278C"/>
    <w:rsid w:val="00DE34C4"/>
    <w:rsid w:val="00DF057E"/>
    <w:rsid w:val="00E261AF"/>
    <w:rsid w:val="00E500F6"/>
    <w:rsid w:val="00E811BB"/>
    <w:rsid w:val="00E96877"/>
    <w:rsid w:val="00EB7E3A"/>
    <w:rsid w:val="00EC31A2"/>
    <w:rsid w:val="00EC6542"/>
    <w:rsid w:val="00F206CA"/>
    <w:rsid w:val="00F7268B"/>
    <w:rsid w:val="00F800E3"/>
    <w:rsid w:val="00FB78A9"/>
    <w:rsid w:val="00FE2BAF"/>
    <w:rsid w:val="00FF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C50C"/>
  <w15:chartTrackingRefBased/>
  <w15:docId w15:val="{E0A433A7-290E-49AA-873A-A2B54635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2CCA"/>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CCA"/>
    <w:pPr>
      <w:ind w:left="720"/>
      <w:contextualSpacing/>
    </w:pPr>
  </w:style>
  <w:style w:type="paragraph" w:styleId="NormalWeb">
    <w:name w:val="Normal (Web)"/>
    <w:basedOn w:val="Normal"/>
    <w:uiPriority w:val="99"/>
    <w:unhideWhenUsed/>
    <w:rsid w:val="00434A50"/>
    <w:pPr>
      <w:spacing w:before="100" w:beforeAutospacing="1" w:after="100" w:afterAutospacing="1"/>
    </w:pPr>
    <w:rPr>
      <w:rFonts w:eastAsiaTheme="minorHAnsi"/>
      <w:sz w:val="22"/>
      <w:szCs w:val="22"/>
    </w:rPr>
  </w:style>
  <w:style w:type="paragraph" w:styleId="Title">
    <w:name w:val="Title"/>
    <w:basedOn w:val="Normal"/>
    <w:next w:val="Normal"/>
    <w:link w:val="TitleChar"/>
    <w:uiPriority w:val="10"/>
    <w:qFormat/>
    <w:rsid w:val="00CA0E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ED6"/>
    <w:rPr>
      <w:rFonts w:asciiTheme="majorHAnsi" w:eastAsiaTheme="majorEastAsia" w:hAnsiTheme="majorHAnsi" w:cstheme="majorBidi"/>
      <w:spacing w:val="-10"/>
      <w:kern w:val="28"/>
      <w:sz w:val="56"/>
      <w:szCs w:val="56"/>
    </w:rPr>
  </w:style>
  <w:style w:type="paragraph" w:styleId="NoSpacing">
    <w:name w:val="No Spacing"/>
    <w:uiPriority w:val="1"/>
    <w:qFormat/>
    <w:rsid w:val="00311858"/>
    <w:pPr>
      <w:spacing w:after="0" w:line="240" w:lineRule="auto"/>
    </w:pPr>
    <w:rPr>
      <w:rFonts w:ascii="Calibri" w:eastAsia="Calibri" w:hAnsi="Calibri" w:cs="Calibri"/>
      <w:sz w:val="24"/>
      <w:szCs w:val="24"/>
    </w:rPr>
  </w:style>
  <w:style w:type="character" w:styleId="CommentReference">
    <w:name w:val="annotation reference"/>
    <w:basedOn w:val="DefaultParagraphFont"/>
    <w:uiPriority w:val="99"/>
    <w:semiHidden/>
    <w:unhideWhenUsed/>
    <w:rsid w:val="00E261AF"/>
    <w:rPr>
      <w:sz w:val="16"/>
      <w:szCs w:val="16"/>
    </w:rPr>
  </w:style>
  <w:style w:type="paragraph" w:styleId="CommentText">
    <w:name w:val="annotation text"/>
    <w:basedOn w:val="Normal"/>
    <w:link w:val="CommentTextChar"/>
    <w:uiPriority w:val="99"/>
    <w:semiHidden/>
    <w:unhideWhenUsed/>
    <w:rsid w:val="00E261AF"/>
    <w:rPr>
      <w:sz w:val="20"/>
      <w:szCs w:val="20"/>
    </w:rPr>
  </w:style>
  <w:style w:type="character" w:customStyle="1" w:styleId="CommentTextChar">
    <w:name w:val="Comment Text Char"/>
    <w:basedOn w:val="DefaultParagraphFont"/>
    <w:link w:val="CommentText"/>
    <w:uiPriority w:val="99"/>
    <w:semiHidden/>
    <w:rsid w:val="00E261A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61AF"/>
    <w:rPr>
      <w:b/>
      <w:bCs/>
    </w:rPr>
  </w:style>
  <w:style w:type="character" w:customStyle="1" w:styleId="CommentSubjectChar">
    <w:name w:val="Comment Subject Char"/>
    <w:basedOn w:val="CommentTextChar"/>
    <w:link w:val="CommentSubject"/>
    <w:uiPriority w:val="99"/>
    <w:semiHidden/>
    <w:rsid w:val="00E261A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26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27">
      <w:bodyDiv w:val="1"/>
      <w:marLeft w:val="0"/>
      <w:marRight w:val="0"/>
      <w:marTop w:val="0"/>
      <w:marBottom w:val="0"/>
      <w:divBdr>
        <w:top w:val="none" w:sz="0" w:space="0" w:color="auto"/>
        <w:left w:val="none" w:sz="0" w:space="0" w:color="auto"/>
        <w:bottom w:val="none" w:sz="0" w:space="0" w:color="auto"/>
        <w:right w:val="none" w:sz="0" w:space="0" w:color="auto"/>
      </w:divBdr>
    </w:div>
    <w:div w:id="176778752">
      <w:bodyDiv w:val="1"/>
      <w:marLeft w:val="0"/>
      <w:marRight w:val="0"/>
      <w:marTop w:val="0"/>
      <w:marBottom w:val="0"/>
      <w:divBdr>
        <w:top w:val="none" w:sz="0" w:space="0" w:color="auto"/>
        <w:left w:val="none" w:sz="0" w:space="0" w:color="auto"/>
        <w:bottom w:val="none" w:sz="0" w:space="0" w:color="auto"/>
        <w:right w:val="none" w:sz="0" w:space="0" w:color="auto"/>
      </w:divBdr>
    </w:div>
    <w:div w:id="329911479">
      <w:bodyDiv w:val="1"/>
      <w:marLeft w:val="0"/>
      <w:marRight w:val="0"/>
      <w:marTop w:val="0"/>
      <w:marBottom w:val="0"/>
      <w:divBdr>
        <w:top w:val="none" w:sz="0" w:space="0" w:color="auto"/>
        <w:left w:val="none" w:sz="0" w:space="0" w:color="auto"/>
        <w:bottom w:val="none" w:sz="0" w:space="0" w:color="auto"/>
        <w:right w:val="none" w:sz="0" w:space="0" w:color="auto"/>
      </w:divBdr>
    </w:div>
    <w:div w:id="352190987">
      <w:bodyDiv w:val="1"/>
      <w:marLeft w:val="0"/>
      <w:marRight w:val="0"/>
      <w:marTop w:val="0"/>
      <w:marBottom w:val="0"/>
      <w:divBdr>
        <w:top w:val="none" w:sz="0" w:space="0" w:color="auto"/>
        <w:left w:val="none" w:sz="0" w:space="0" w:color="auto"/>
        <w:bottom w:val="none" w:sz="0" w:space="0" w:color="auto"/>
        <w:right w:val="none" w:sz="0" w:space="0" w:color="auto"/>
      </w:divBdr>
    </w:div>
    <w:div w:id="434137331">
      <w:bodyDiv w:val="1"/>
      <w:marLeft w:val="0"/>
      <w:marRight w:val="0"/>
      <w:marTop w:val="0"/>
      <w:marBottom w:val="0"/>
      <w:divBdr>
        <w:top w:val="none" w:sz="0" w:space="0" w:color="auto"/>
        <w:left w:val="none" w:sz="0" w:space="0" w:color="auto"/>
        <w:bottom w:val="none" w:sz="0" w:space="0" w:color="auto"/>
        <w:right w:val="none" w:sz="0" w:space="0" w:color="auto"/>
      </w:divBdr>
    </w:div>
    <w:div w:id="496729685">
      <w:bodyDiv w:val="1"/>
      <w:marLeft w:val="0"/>
      <w:marRight w:val="0"/>
      <w:marTop w:val="0"/>
      <w:marBottom w:val="0"/>
      <w:divBdr>
        <w:top w:val="none" w:sz="0" w:space="0" w:color="auto"/>
        <w:left w:val="none" w:sz="0" w:space="0" w:color="auto"/>
        <w:bottom w:val="none" w:sz="0" w:space="0" w:color="auto"/>
        <w:right w:val="none" w:sz="0" w:space="0" w:color="auto"/>
      </w:divBdr>
    </w:div>
    <w:div w:id="734548093">
      <w:bodyDiv w:val="1"/>
      <w:marLeft w:val="0"/>
      <w:marRight w:val="0"/>
      <w:marTop w:val="0"/>
      <w:marBottom w:val="0"/>
      <w:divBdr>
        <w:top w:val="none" w:sz="0" w:space="0" w:color="auto"/>
        <w:left w:val="none" w:sz="0" w:space="0" w:color="auto"/>
        <w:bottom w:val="none" w:sz="0" w:space="0" w:color="auto"/>
        <w:right w:val="none" w:sz="0" w:space="0" w:color="auto"/>
      </w:divBdr>
    </w:div>
    <w:div w:id="771971731">
      <w:bodyDiv w:val="1"/>
      <w:marLeft w:val="0"/>
      <w:marRight w:val="0"/>
      <w:marTop w:val="0"/>
      <w:marBottom w:val="0"/>
      <w:divBdr>
        <w:top w:val="none" w:sz="0" w:space="0" w:color="auto"/>
        <w:left w:val="none" w:sz="0" w:space="0" w:color="auto"/>
        <w:bottom w:val="none" w:sz="0" w:space="0" w:color="auto"/>
        <w:right w:val="none" w:sz="0" w:space="0" w:color="auto"/>
      </w:divBdr>
    </w:div>
    <w:div w:id="1163466964">
      <w:bodyDiv w:val="1"/>
      <w:marLeft w:val="0"/>
      <w:marRight w:val="0"/>
      <w:marTop w:val="0"/>
      <w:marBottom w:val="0"/>
      <w:divBdr>
        <w:top w:val="none" w:sz="0" w:space="0" w:color="auto"/>
        <w:left w:val="none" w:sz="0" w:space="0" w:color="auto"/>
        <w:bottom w:val="none" w:sz="0" w:space="0" w:color="auto"/>
        <w:right w:val="none" w:sz="0" w:space="0" w:color="auto"/>
      </w:divBdr>
    </w:div>
    <w:div w:id="1182430531">
      <w:bodyDiv w:val="1"/>
      <w:marLeft w:val="0"/>
      <w:marRight w:val="0"/>
      <w:marTop w:val="0"/>
      <w:marBottom w:val="0"/>
      <w:divBdr>
        <w:top w:val="none" w:sz="0" w:space="0" w:color="auto"/>
        <w:left w:val="none" w:sz="0" w:space="0" w:color="auto"/>
        <w:bottom w:val="none" w:sz="0" w:space="0" w:color="auto"/>
        <w:right w:val="none" w:sz="0" w:space="0" w:color="auto"/>
      </w:divBdr>
    </w:div>
    <w:div w:id="1251430880">
      <w:bodyDiv w:val="1"/>
      <w:marLeft w:val="0"/>
      <w:marRight w:val="0"/>
      <w:marTop w:val="0"/>
      <w:marBottom w:val="0"/>
      <w:divBdr>
        <w:top w:val="none" w:sz="0" w:space="0" w:color="auto"/>
        <w:left w:val="none" w:sz="0" w:space="0" w:color="auto"/>
        <w:bottom w:val="none" w:sz="0" w:space="0" w:color="auto"/>
        <w:right w:val="none" w:sz="0" w:space="0" w:color="auto"/>
      </w:divBdr>
    </w:div>
    <w:div w:id="1489439659">
      <w:bodyDiv w:val="1"/>
      <w:marLeft w:val="0"/>
      <w:marRight w:val="0"/>
      <w:marTop w:val="0"/>
      <w:marBottom w:val="0"/>
      <w:divBdr>
        <w:top w:val="none" w:sz="0" w:space="0" w:color="auto"/>
        <w:left w:val="none" w:sz="0" w:space="0" w:color="auto"/>
        <w:bottom w:val="none" w:sz="0" w:space="0" w:color="auto"/>
        <w:right w:val="none" w:sz="0" w:space="0" w:color="auto"/>
      </w:divBdr>
    </w:div>
    <w:div w:id="1500005533">
      <w:bodyDiv w:val="1"/>
      <w:marLeft w:val="0"/>
      <w:marRight w:val="0"/>
      <w:marTop w:val="0"/>
      <w:marBottom w:val="0"/>
      <w:divBdr>
        <w:top w:val="none" w:sz="0" w:space="0" w:color="auto"/>
        <w:left w:val="none" w:sz="0" w:space="0" w:color="auto"/>
        <w:bottom w:val="none" w:sz="0" w:space="0" w:color="auto"/>
        <w:right w:val="none" w:sz="0" w:space="0" w:color="auto"/>
      </w:divBdr>
    </w:div>
    <w:div w:id="1569342690">
      <w:bodyDiv w:val="1"/>
      <w:marLeft w:val="0"/>
      <w:marRight w:val="0"/>
      <w:marTop w:val="0"/>
      <w:marBottom w:val="0"/>
      <w:divBdr>
        <w:top w:val="none" w:sz="0" w:space="0" w:color="auto"/>
        <w:left w:val="none" w:sz="0" w:space="0" w:color="auto"/>
        <w:bottom w:val="none" w:sz="0" w:space="0" w:color="auto"/>
        <w:right w:val="none" w:sz="0" w:space="0" w:color="auto"/>
      </w:divBdr>
    </w:div>
    <w:div w:id="1831170027">
      <w:bodyDiv w:val="1"/>
      <w:marLeft w:val="0"/>
      <w:marRight w:val="0"/>
      <w:marTop w:val="0"/>
      <w:marBottom w:val="0"/>
      <w:divBdr>
        <w:top w:val="none" w:sz="0" w:space="0" w:color="auto"/>
        <w:left w:val="none" w:sz="0" w:space="0" w:color="auto"/>
        <w:bottom w:val="none" w:sz="0" w:space="0" w:color="auto"/>
        <w:right w:val="none" w:sz="0" w:space="0" w:color="auto"/>
      </w:divBdr>
    </w:div>
    <w:div w:id="18545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2020-08-20T04:00:00+00:00</Publication_x0020_Date>
    <Audience1 xmlns="3a62de7d-ba57-4f43-9dae-9623ba637be0">
      <Value>1</Value>
      <Value>2</Value>
      <Value>10</Value>
    </Audience1>
    <_dlc_DocId xmlns="3a62de7d-ba57-4f43-9dae-9623ba637be0">KYED-320-653</_dlc_DocId>
    <_dlc_DocIdUrl xmlns="3a62de7d-ba57-4f43-9dae-9623ba637be0">
      <Url>https://www.education.ky.gov/districts/business/_layouts/15/DocIdRedir.aspx?ID=KYED-320-653</Url>
      <Description>KYED-320-653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D151B4-96F7-4DE4-BE73-4D525F9FF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3693CB-BD1F-4C30-A215-6C5B45D5A43B}">
  <ds:schemaRefs>
    <ds:schemaRef ds:uri="http://schemas.microsoft.com/sharepoint/v3/contenttype/forms"/>
  </ds:schemaRefs>
</ds:datastoreItem>
</file>

<file path=customXml/itemProps3.xml><?xml version="1.0" encoding="utf-8"?>
<ds:datastoreItem xmlns:ds="http://schemas.openxmlformats.org/officeDocument/2006/customXml" ds:itemID="{54A72930-D03D-4D6F-A064-9A582A6CEF46}"/>
</file>

<file path=customXml/itemProps4.xml><?xml version="1.0" encoding="utf-8"?>
<ds:datastoreItem xmlns:ds="http://schemas.openxmlformats.org/officeDocument/2006/customXml" ds:itemID="{E311738D-F4B9-45F3-94D8-AD6FB27D94E9}"/>
</file>

<file path=docProps/app.xml><?xml version="1.0" encoding="utf-8"?>
<Properties xmlns="http://schemas.openxmlformats.org/officeDocument/2006/extended-properties" xmlns:vt="http://schemas.openxmlformats.org/officeDocument/2006/docPropsVTypes">
  <Template>Normal.dotm</Template>
  <TotalTime>7</TotalTime>
  <Pages>4</Pages>
  <Words>1200</Words>
  <Characters>6845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2</cp:revision>
  <dcterms:created xsi:type="dcterms:W3CDTF">2020-08-19T18:59:00Z</dcterms:created>
  <dcterms:modified xsi:type="dcterms:W3CDTF">2020-08-19T18:59:00Z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0e664bcf-cbc0-4069-86a6-b01cc19966ca</vt:lpwstr>
  </property>
</Properties>
</file>