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1695" w14:textId="77777777" w:rsidR="00FE7D60" w:rsidRDefault="00FE7D60">
      <w:pPr>
        <w:pStyle w:val="BodyText"/>
        <w:rPr>
          <w:sz w:val="20"/>
        </w:rPr>
      </w:pPr>
    </w:p>
    <w:p w14:paraId="21AB1696" w14:textId="77777777" w:rsidR="00FE7D60" w:rsidRDefault="00FE7D60">
      <w:pPr>
        <w:pStyle w:val="BodyText"/>
        <w:rPr>
          <w:sz w:val="20"/>
        </w:rPr>
      </w:pPr>
    </w:p>
    <w:p w14:paraId="21AB1697" w14:textId="77777777" w:rsidR="00FE7D60" w:rsidRDefault="00FE7D60">
      <w:pPr>
        <w:pStyle w:val="BodyText"/>
        <w:rPr>
          <w:sz w:val="20"/>
        </w:rPr>
      </w:pPr>
    </w:p>
    <w:p w14:paraId="21AB1698" w14:textId="77777777" w:rsidR="00FE7D60" w:rsidRDefault="00FE7D60">
      <w:pPr>
        <w:pStyle w:val="BodyText"/>
        <w:spacing w:before="6"/>
      </w:pPr>
    </w:p>
    <w:p w14:paraId="21AB1699" w14:textId="77777777" w:rsidR="00FE7D60" w:rsidRDefault="008B77A0">
      <w:pPr>
        <w:pStyle w:val="BodyText"/>
        <w:spacing w:before="90" w:line="275" w:lineRule="exact"/>
        <w:ind w:left="2764" w:right="2767"/>
        <w:jc w:val="center"/>
      </w:pPr>
      <w:r>
        <w:t>STATEMENT</w:t>
      </w:r>
      <w:r>
        <w:rPr>
          <w:spacing w:val="-11"/>
        </w:rPr>
        <w:t xml:space="preserve"> </w:t>
      </w:r>
      <w:r>
        <w:t>OF</w:t>
      </w:r>
      <w:r>
        <w:rPr>
          <w:spacing w:val="-10"/>
        </w:rPr>
        <w:t xml:space="preserve"> </w:t>
      </w:r>
      <w:r>
        <w:rPr>
          <w:spacing w:val="-2"/>
        </w:rPr>
        <w:t>CONSIDERATION</w:t>
      </w:r>
    </w:p>
    <w:p w14:paraId="21AB169A" w14:textId="77777777" w:rsidR="00FE7D60" w:rsidRDefault="008B77A0">
      <w:pPr>
        <w:pStyle w:val="BodyText"/>
        <w:spacing w:line="275" w:lineRule="exact"/>
        <w:ind w:left="2764" w:right="2768"/>
        <w:jc w:val="center"/>
      </w:pPr>
      <w:r>
        <w:t>Relating</w:t>
      </w:r>
      <w:r>
        <w:rPr>
          <w:spacing w:val="-3"/>
        </w:rPr>
        <w:t xml:space="preserve"> </w:t>
      </w:r>
      <w:r>
        <w:t>to</w:t>
      </w:r>
      <w:r>
        <w:rPr>
          <w:spacing w:val="-2"/>
        </w:rPr>
        <w:t xml:space="preserve"> </w:t>
      </w:r>
      <w:r>
        <w:t>704</w:t>
      </w:r>
      <w:r>
        <w:rPr>
          <w:spacing w:val="-2"/>
        </w:rPr>
        <w:t xml:space="preserve"> </w:t>
      </w:r>
      <w:r>
        <w:t>KAR</w:t>
      </w:r>
      <w:r>
        <w:rPr>
          <w:spacing w:val="-2"/>
        </w:rPr>
        <w:t xml:space="preserve"> 8:060</w:t>
      </w:r>
    </w:p>
    <w:p w14:paraId="21AB169B" w14:textId="77777777" w:rsidR="00FE7D60" w:rsidRDefault="008B77A0">
      <w:pPr>
        <w:pStyle w:val="BodyText"/>
        <w:spacing w:line="275" w:lineRule="exact"/>
        <w:ind w:left="2764" w:right="2778"/>
        <w:jc w:val="center"/>
      </w:pPr>
      <w:r>
        <w:t>Kentucky</w:t>
      </w:r>
      <w:r>
        <w:rPr>
          <w:spacing w:val="-5"/>
        </w:rPr>
        <w:t xml:space="preserve"> </w:t>
      </w:r>
      <w:r>
        <w:t>Academic</w:t>
      </w:r>
      <w:r>
        <w:rPr>
          <w:spacing w:val="-7"/>
        </w:rPr>
        <w:t xml:space="preserve"> </w:t>
      </w:r>
      <w:r>
        <w:t>Standards</w:t>
      </w:r>
      <w:r>
        <w:rPr>
          <w:spacing w:val="-3"/>
        </w:rPr>
        <w:t xml:space="preserve"> </w:t>
      </w:r>
      <w:r>
        <w:t>for</w:t>
      </w:r>
      <w:r>
        <w:rPr>
          <w:spacing w:val="-5"/>
        </w:rPr>
        <w:t xml:space="preserve"> </w:t>
      </w:r>
      <w:r>
        <w:t>Social</w:t>
      </w:r>
      <w:r>
        <w:rPr>
          <w:spacing w:val="-7"/>
        </w:rPr>
        <w:t xml:space="preserve"> </w:t>
      </w:r>
      <w:r>
        <w:rPr>
          <w:spacing w:val="-2"/>
        </w:rPr>
        <w:t>Studies</w:t>
      </w:r>
    </w:p>
    <w:p w14:paraId="21AB169C" w14:textId="77777777" w:rsidR="00FE7D60" w:rsidRDefault="00FE7D60">
      <w:pPr>
        <w:pStyle w:val="BodyText"/>
        <w:spacing w:before="3"/>
      </w:pPr>
    </w:p>
    <w:p w14:paraId="21AB169D" w14:textId="77777777" w:rsidR="00FE7D60" w:rsidRDefault="008B77A0">
      <w:pPr>
        <w:pStyle w:val="BodyText"/>
        <w:ind w:left="3702" w:right="3707"/>
        <w:jc w:val="center"/>
      </w:pPr>
      <w:r>
        <w:t>Kentucky</w:t>
      </w:r>
      <w:r>
        <w:rPr>
          <w:spacing w:val="-14"/>
        </w:rPr>
        <w:t xml:space="preserve"> </w:t>
      </w:r>
      <w:r>
        <w:t>Board</w:t>
      </w:r>
      <w:r>
        <w:rPr>
          <w:spacing w:val="-14"/>
        </w:rPr>
        <w:t xml:space="preserve"> </w:t>
      </w:r>
      <w:r>
        <w:t>of</w:t>
      </w:r>
      <w:r>
        <w:rPr>
          <w:spacing w:val="-14"/>
        </w:rPr>
        <w:t xml:space="preserve"> </w:t>
      </w:r>
      <w:r>
        <w:t>Education Department of Education</w:t>
      </w:r>
    </w:p>
    <w:p w14:paraId="21AB169E" w14:textId="77777777" w:rsidR="00FE7D60" w:rsidRDefault="008B77A0">
      <w:pPr>
        <w:pStyle w:val="BodyText"/>
        <w:spacing w:line="274" w:lineRule="exact"/>
        <w:ind w:left="2764" w:right="2764"/>
        <w:jc w:val="center"/>
      </w:pPr>
      <w:r>
        <w:t>(Not</w:t>
      </w:r>
      <w:r>
        <w:rPr>
          <w:spacing w:val="-8"/>
        </w:rPr>
        <w:t xml:space="preserve"> </w:t>
      </w:r>
      <w:r>
        <w:t>Amended</w:t>
      </w:r>
      <w:r>
        <w:rPr>
          <w:spacing w:val="-5"/>
        </w:rPr>
        <w:t xml:space="preserve"> </w:t>
      </w:r>
      <w:r>
        <w:t>After</w:t>
      </w:r>
      <w:r>
        <w:rPr>
          <w:spacing w:val="-6"/>
        </w:rPr>
        <w:t xml:space="preserve"> </w:t>
      </w:r>
      <w:r>
        <w:rPr>
          <w:spacing w:val="-2"/>
        </w:rPr>
        <w:t>Comments)</w:t>
      </w:r>
    </w:p>
    <w:p w14:paraId="21AB169F" w14:textId="77777777" w:rsidR="00FE7D60" w:rsidRDefault="00FE7D60">
      <w:pPr>
        <w:pStyle w:val="BodyText"/>
        <w:spacing w:before="3"/>
      </w:pPr>
    </w:p>
    <w:p w14:paraId="21AB16A0" w14:textId="77777777" w:rsidR="00FE7D60" w:rsidRDefault="008B77A0">
      <w:pPr>
        <w:pStyle w:val="ListParagraph"/>
        <w:numPr>
          <w:ilvl w:val="0"/>
          <w:numId w:val="2"/>
        </w:numPr>
        <w:tabs>
          <w:tab w:val="left" w:pos="825"/>
          <w:tab w:val="left" w:pos="826"/>
        </w:tabs>
        <w:ind w:right="284"/>
        <w:jc w:val="left"/>
        <w:rPr>
          <w:sz w:val="24"/>
        </w:rPr>
      </w:pPr>
      <w:r>
        <w:rPr>
          <w:sz w:val="24"/>
        </w:rPr>
        <w:t>The public hearing on 704 KAR 8:060, scheduled for February 22, 2023, at 10:00 a.m. at the Kentucky</w:t>
      </w:r>
      <w:r>
        <w:rPr>
          <w:spacing w:val="-5"/>
          <w:sz w:val="24"/>
        </w:rPr>
        <w:t xml:space="preserve"> </w:t>
      </w:r>
      <w:r>
        <w:rPr>
          <w:sz w:val="24"/>
        </w:rPr>
        <w:t>Department</w:t>
      </w:r>
      <w:r>
        <w:rPr>
          <w:spacing w:val="-7"/>
          <w:sz w:val="24"/>
        </w:rPr>
        <w:t xml:space="preserve"> </w:t>
      </w:r>
      <w:r>
        <w:rPr>
          <w:sz w:val="24"/>
        </w:rPr>
        <w:t>of</w:t>
      </w:r>
      <w:r>
        <w:rPr>
          <w:spacing w:val="-5"/>
          <w:sz w:val="24"/>
        </w:rPr>
        <w:t xml:space="preserve"> </w:t>
      </w:r>
      <w:r>
        <w:rPr>
          <w:sz w:val="24"/>
        </w:rPr>
        <w:t>Education,</w:t>
      </w:r>
      <w:r>
        <w:rPr>
          <w:spacing w:val="-2"/>
          <w:sz w:val="24"/>
        </w:rPr>
        <w:t xml:space="preserve"> </w:t>
      </w:r>
      <w:r>
        <w:rPr>
          <w:sz w:val="24"/>
        </w:rPr>
        <w:t>300</w:t>
      </w:r>
      <w:r>
        <w:rPr>
          <w:spacing w:val="-5"/>
          <w:sz w:val="24"/>
        </w:rPr>
        <w:t xml:space="preserve"> </w:t>
      </w:r>
      <w:r>
        <w:rPr>
          <w:sz w:val="24"/>
        </w:rPr>
        <w:t>Sower</w:t>
      </w:r>
      <w:r>
        <w:rPr>
          <w:spacing w:val="-5"/>
          <w:sz w:val="24"/>
        </w:rPr>
        <w:t xml:space="preserve"> </w:t>
      </w:r>
      <w:r>
        <w:rPr>
          <w:sz w:val="24"/>
        </w:rPr>
        <w:t>Boulevard,</w:t>
      </w:r>
      <w:r>
        <w:rPr>
          <w:spacing w:val="-5"/>
          <w:sz w:val="24"/>
        </w:rPr>
        <w:t xml:space="preserve"> </w:t>
      </w:r>
      <w:r>
        <w:rPr>
          <w:sz w:val="24"/>
        </w:rPr>
        <w:t>Frankfort,</w:t>
      </w:r>
      <w:r>
        <w:rPr>
          <w:spacing w:val="-5"/>
          <w:sz w:val="24"/>
        </w:rPr>
        <w:t xml:space="preserve"> </w:t>
      </w:r>
      <w:r>
        <w:rPr>
          <w:sz w:val="24"/>
        </w:rPr>
        <w:t>Kentucky,</w:t>
      </w:r>
      <w:r>
        <w:rPr>
          <w:spacing w:val="-5"/>
          <w:sz w:val="24"/>
        </w:rPr>
        <w:t xml:space="preserve"> </w:t>
      </w:r>
      <w:r>
        <w:rPr>
          <w:sz w:val="24"/>
        </w:rPr>
        <w:t>was</w:t>
      </w:r>
      <w:r>
        <w:rPr>
          <w:spacing w:val="-4"/>
          <w:sz w:val="24"/>
        </w:rPr>
        <w:t xml:space="preserve"> </w:t>
      </w:r>
      <w:r>
        <w:rPr>
          <w:sz w:val="24"/>
        </w:rPr>
        <w:t>canceled; however, written comments were received during the public comment period.</w:t>
      </w:r>
    </w:p>
    <w:p w14:paraId="21AB16A1" w14:textId="77777777" w:rsidR="00FE7D60" w:rsidRDefault="00FE7D60">
      <w:pPr>
        <w:pStyle w:val="BodyText"/>
        <w:spacing w:before="8"/>
        <w:rPr>
          <w:sz w:val="23"/>
        </w:rPr>
      </w:pPr>
    </w:p>
    <w:p w14:paraId="21AB16A2" w14:textId="77777777" w:rsidR="00FE7D60" w:rsidRDefault="008B77A0">
      <w:pPr>
        <w:pStyle w:val="ListParagraph"/>
        <w:numPr>
          <w:ilvl w:val="0"/>
          <w:numId w:val="2"/>
        </w:numPr>
        <w:tabs>
          <w:tab w:val="left" w:pos="825"/>
          <w:tab w:val="left" w:pos="826"/>
        </w:tabs>
        <w:jc w:val="left"/>
        <w:rPr>
          <w:sz w:val="24"/>
        </w:rPr>
      </w:pPr>
      <w:r>
        <w:rPr>
          <w:sz w:val="24"/>
        </w:rPr>
        <w:t>The</w:t>
      </w:r>
      <w:r>
        <w:rPr>
          <w:spacing w:val="-8"/>
          <w:sz w:val="24"/>
        </w:rPr>
        <w:t xml:space="preserve"> </w:t>
      </w:r>
      <w:r>
        <w:rPr>
          <w:sz w:val="24"/>
        </w:rPr>
        <w:t>following</w:t>
      </w:r>
      <w:r>
        <w:rPr>
          <w:spacing w:val="-5"/>
          <w:sz w:val="24"/>
        </w:rPr>
        <w:t xml:space="preserve"> </w:t>
      </w:r>
      <w:r>
        <w:rPr>
          <w:sz w:val="24"/>
        </w:rPr>
        <w:t>people</w:t>
      </w:r>
      <w:r>
        <w:rPr>
          <w:spacing w:val="-7"/>
          <w:sz w:val="24"/>
        </w:rPr>
        <w:t xml:space="preserve"> </w:t>
      </w:r>
      <w:r>
        <w:rPr>
          <w:sz w:val="24"/>
        </w:rPr>
        <w:t>submitted</w:t>
      </w:r>
      <w:r>
        <w:rPr>
          <w:spacing w:val="-6"/>
          <w:sz w:val="24"/>
        </w:rPr>
        <w:t xml:space="preserve"> </w:t>
      </w:r>
      <w:r>
        <w:rPr>
          <w:sz w:val="24"/>
        </w:rPr>
        <w:t>written</w:t>
      </w:r>
      <w:r>
        <w:rPr>
          <w:spacing w:val="-5"/>
          <w:sz w:val="24"/>
        </w:rPr>
        <w:t xml:space="preserve"> </w:t>
      </w:r>
      <w:r>
        <w:rPr>
          <w:spacing w:val="-2"/>
          <w:sz w:val="24"/>
        </w:rPr>
        <w:t>comments:</w:t>
      </w:r>
    </w:p>
    <w:p w14:paraId="21AB16A3" w14:textId="77777777" w:rsidR="00FE7D60" w:rsidRDefault="008B77A0">
      <w:pPr>
        <w:pStyle w:val="BodyText"/>
        <w:tabs>
          <w:tab w:val="left" w:pos="4427"/>
        </w:tabs>
        <w:spacing w:before="4" w:line="275" w:lineRule="exact"/>
        <w:ind w:left="826"/>
      </w:pPr>
      <w:r>
        <w:rPr>
          <w:u w:val="single"/>
        </w:rPr>
        <w:t>Name</w:t>
      </w:r>
      <w:r>
        <w:rPr>
          <w:spacing w:val="-6"/>
          <w:u w:val="single"/>
        </w:rPr>
        <w:t xml:space="preserve"> </w:t>
      </w:r>
      <w:r>
        <w:rPr>
          <w:u w:val="single"/>
        </w:rPr>
        <w:t>and</w:t>
      </w:r>
      <w:r>
        <w:rPr>
          <w:spacing w:val="-2"/>
          <w:u w:val="single"/>
        </w:rPr>
        <w:t xml:space="preserve"> </w:t>
      </w:r>
      <w:r>
        <w:rPr>
          <w:spacing w:val="-4"/>
          <w:u w:val="single"/>
        </w:rPr>
        <w:t>Title</w:t>
      </w:r>
      <w:r>
        <w:tab/>
      </w:r>
      <w:r>
        <w:rPr>
          <w:spacing w:val="-2"/>
          <w:u w:val="single"/>
        </w:rPr>
        <w:t>Agency/Organization/Entity/Other</w:t>
      </w:r>
    </w:p>
    <w:p w14:paraId="21AB16A4" w14:textId="77777777" w:rsidR="00FE7D60" w:rsidRDefault="008B77A0">
      <w:pPr>
        <w:pStyle w:val="BodyText"/>
        <w:tabs>
          <w:tab w:val="left" w:pos="4427"/>
        </w:tabs>
        <w:spacing w:line="275" w:lineRule="exact"/>
        <w:ind w:left="826"/>
      </w:pPr>
      <w:r>
        <w:t>Darcie</w:t>
      </w:r>
      <w:r>
        <w:rPr>
          <w:spacing w:val="-9"/>
        </w:rPr>
        <w:t xml:space="preserve"> </w:t>
      </w:r>
      <w:r>
        <w:rPr>
          <w:spacing w:val="-2"/>
        </w:rPr>
        <w:t>Cayaba</w:t>
      </w:r>
      <w:r>
        <w:tab/>
      </w:r>
      <w:r>
        <w:rPr>
          <w:spacing w:val="-2"/>
        </w:rPr>
        <w:t>Unspecified</w:t>
      </w:r>
    </w:p>
    <w:p w14:paraId="21AB16A5" w14:textId="77777777" w:rsidR="00FE7D60" w:rsidRDefault="008B77A0">
      <w:pPr>
        <w:pStyle w:val="BodyText"/>
        <w:tabs>
          <w:tab w:val="left" w:pos="4427"/>
        </w:tabs>
        <w:spacing w:line="276" w:lineRule="exact"/>
        <w:ind w:left="826"/>
      </w:pPr>
      <w:r>
        <w:t>Shereen</w:t>
      </w:r>
      <w:r>
        <w:rPr>
          <w:spacing w:val="-5"/>
        </w:rPr>
        <w:t xml:space="preserve"> </w:t>
      </w:r>
      <w:r>
        <w:t>Bhalla,</w:t>
      </w:r>
      <w:r>
        <w:rPr>
          <w:spacing w:val="-5"/>
        </w:rPr>
        <w:t xml:space="preserve"> </w:t>
      </w:r>
      <w:r>
        <w:rPr>
          <w:spacing w:val="-4"/>
        </w:rPr>
        <w:t>Ph.D.</w:t>
      </w:r>
      <w:r>
        <w:tab/>
        <w:t>Hindu</w:t>
      </w:r>
      <w:r>
        <w:rPr>
          <w:spacing w:val="-7"/>
        </w:rPr>
        <w:t xml:space="preserve"> </w:t>
      </w:r>
      <w:r>
        <w:t>American</w:t>
      </w:r>
      <w:r>
        <w:rPr>
          <w:spacing w:val="-3"/>
        </w:rPr>
        <w:t xml:space="preserve"> </w:t>
      </w:r>
      <w:r>
        <w:rPr>
          <w:spacing w:val="-2"/>
        </w:rPr>
        <w:t>Foundation</w:t>
      </w:r>
    </w:p>
    <w:p w14:paraId="21AB16A6" w14:textId="77777777" w:rsidR="00FE7D60" w:rsidRDefault="00FE7D60">
      <w:pPr>
        <w:pStyle w:val="BodyText"/>
        <w:spacing w:before="10"/>
        <w:rPr>
          <w:sz w:val="23"/>
        </w:rPr>
      </w:pPr>
    </w:p>
    <w:p w14:paraId="21AB16A7" w14:textId="77777777" w:rsidR="00FE7D60" w:rsidRDefault="008B77A0">
      <w:pPr>
        <w:pStyle w:val="ListParagraph"/>
        <w:numPr>
          <w:ilvl w:val="0"/>
          <w:numId w:val="2"/>
        </w:numPr>
        <w:tabs>
          <w:tab w:val="left" w:pos="825"/>
          <w:tab w:val="left" w:pos="826"/>
        </w:tabs>
        <w:spacing w:line="242" w:lineRule="auto"/>
        <w:ind w:right="806"/>
        <w:jc w:val="left"/>
        <w:rPr>
          <w:sz w:val="24"/>
        </w:rPr>
      </w:pPr>
      <w:r>
        <w:rPr>
          <w:sz w:val="24"/>
        </w:rPr>
        <w:t>The</w:t>
      </w:r>
      <w:r>
        <w:rPr>
          <w:spacing w:val="-6"/>
          <w:sz w:val="24"/>
        </w:rPr>
        <w:t xml:space="preserve"> </w:t>
      </w:r>
      <w:r>
        <w:rPr>
          <w:sz w:val="24"/>
        </w:rPr>
        <w:t>following</w:t>
      </w:r>
      <w:r>
        <w:rPr>
          <w:spacing w:val="-4"/>
          <w:sz w:val="24"/>
        </w:rPr>
        <w:t xml:space="preserve"> </w:t>
      </w:r>
      <w:r>
        <w:rPr>
          <w:sz w:val="24"/>
        </w:rPr>
        <w:t>people</w:t>
      </w:r>
      <w:r>
        <w:rPr>
          <w:spacing w:val="-6"/>
          <w:sz w:val="24"/>
        </w:rPr>
        <w:t xml:space="preserve"> </w:t>
      </w:r>
      <w:r>
        <w:rPr>
          <w:sz w:val="24"/>
        </w:rPr>
        <w:t>from</w:t>
      </w:r>
      <w:r>
        <w:rPr>
          <w:spacing w:val="-6"/>
          <w:sz w:val="24"/>
        </w:rPr>
        <w:t xml:space="preserve"> </w:t>
      </w:r>
      <w:r>
        <w:rPr>
          <w:sz w:val="24"/>
        </w:rPr>
        <w:t>the</w:t>
      </w:r>
      <w:r>
        <w:rPr>
          <w:spacing w:val="-6"/>
          <w:sz w:val="24"/>
        </w:rPr>
        <w:t xml:space="preserve"> </w:t>
      </w:r>
      <w:r>
        <w:rPr>
          <w:sz w:val="24"/>
        </w:rPr>
        <w:t>promulgating</w:t>
      </w:r>
      <w:r>
        <w:rPr>
          <w:spacing w:val="-4"/>
          <w:sz w:val="24"/>
        </w:rPr>
        <w:t xml:space="preserve"> </w:t>
      </w:r>
      <w:r>
        <w:rPr>
          <w:sz w:val="24"/>
        </w:rPr>
        <w:t>administrative</w:t>
      </w:r>
      <w:r>
        <w:rPr>
          <w:spacing w:val="-6"/>
          <w:sz w:val="24"/>
        </w:rPr>
        <w:t xml:space="preserve"> </w:t>
      </w:r>
      <w:r>
        <w:rPr>
          <w:sz w:val="24"/>
        </w:rPr>
        <w:t>body</w:t>
      </w:r>
      <w:r>
        <w:rPr>
          <w:spacing w:val="-4"/>
          <w:sz w:val="24"/>
        </w:rPr>
        <w:t xml:space="preserve"> </w:t>
      </w:r>
      <w:r>
        <w:rPr>
          <w:sz w:val="24"/>
        </w:rPr>
        <w:t>responded</w:t>
      </w:r>
      <w:r>
        <w:rPr>
          <w:spacing w:val="-4"/>
          <w:sz w:val="24"/>
        </w:rPr>
        <w:t xml:space="preserve"> </w:t>
      </w:r>
      <w:r>
        <w:rPr>
          <w:sz w:val="24"/>
        </w:rPr>
        <w:t>to</w:t>
      </w:r>
      <w:r>
        <w:rPr>
          <w:spacing w:val="-4"/>
          <w:sz w:val="24"/>
        </w:rPr>
        <w:t xml:space="preserve"> </w:t>
      </w:r>
      <w:r>
        <w:rPr>
          <w:sz w:val="24"/>
        </w:rPr>
        <w:t>the</w:t>
      </w:r>
      <w:r>
        <w:rPr>
          <w:spacing w:val="-6"/>
          <w:sz w:val="24"/>
        </w:rPr>
        <w:t xml:space="preserve"> </w:t>
      </w:r>
      <w:r>
        <w:rPr>
          <w:sz w:val="24"/>
        </w:rPr>
        <w:t xml:space="preserve">written </w:t>
      </w:r>
      <w:r>
        <w:rPr>
          <w:spacing w:val="-2"/>
          <w:sz w:val="24"/>
        </w:rPr>
        <w:t>comments:</w:t>
      </w:r>
    </w:p>
    <w:p w14:paraId="21AB16A8" w14:textId="77777777" w:rsidR="00FE7D60" w:rsidRDefault="008B77A0">
      <w:pPr>
        <w:pStyle w:val="BodyText"/>
        <w:spacing w:line="273" w:lineRule="exact"/>
        <w:ind w:left="826"/>
      </w:pPr>
      <w:r>
        <w:rPr>
          <w:u w:val="single"/>
        </w:rPr>
        <w:t>Name</w:t>
      </w:r>
      <w:r>
        <w:rPr>
          <w:spacing w:val="-6"/>
          <w:u w:val="single"/>
        </w:rPr>
        <w:t xml:space="preserve"> </w:t>
      </w:r>
      <w:r>
        <w:rPr>
          <w:u w:val="single"/>
        </w:rPr>
        <w:t>and</w:t>
      </w:r>
      <w:r>
        <w:rPr>
          <w:spacing w:val="-3"/>
          <w:u w:val="single"/>
        </w:rPr>
        <w:t xml:space="preserve"> </w:t>
      </w:r>
      <w:r>
        <w:rPr>
          <w:spacing w:val="-4"/>
          <w:u w:val="single"/>
        </w:rPr>
        <w:t>Title</w:t>
      </w:r>
    </w:p>
    <w:p w14:paraId="21AB16A9" w14:textId="77777777" w:rsidR="00FE7D60" w:rsidRDefault="008B77A0">
      <w:pPr>
        <w:pStyle w:val="BodyText"/>
        <w:ind w:left="826"/>
      </w:pPr>
      <w:r>
        <w:t>Lauren</w:t>
      </w:r>
      <w:r>
        <w:rPr>
          <w:spacing w:val="-1"/>
        </w:rPr>
        <w:t xml:space="preserve"> </w:t>
      </w:r>
      <w:r>
        <w:t>Gallicchio,</w:t>
      </w:r>
      <w:r>
        <w:rPr>
          <w:spacing w:val="-4"/>
        </w:rPr>
        <w:t xml:space="preserve"> </w:t>
      </w:r>
      <w:r>
        <w:t>Education</w:t>
      </w:r>
      <w:r>
        <w:rPr>
          <w:spacing w:val="-5"/>
        </w:rPr>
        <w:t xml:space="preserve"> </w:t>
      </w:r>
      <w:r>
        <w:t>Academic</w:t>
      </w:r>
      <w:r>
        <w:rPr>
          <w:spacing w:val="-5"/>
        </w:rPr>
        <w:t xml:space="preserve"> </w:t>
      </w:r>
      <w:r>
        <w:t>Program</w:t>
      </w:r>
      <w:r>
        <w:rPr>
          <w:spacing w:val="-7"/>
        </w:rPr>
        <w:t xml:space="preserve"> </w:t>
      </w:r>
      <w:r>
        <w:t>Consultant,</w:t>
      </w:r>
      <w:r>
        <w:rPr>
          <w:spacing w:val="-5"/>
        </w:rPr>
        <w:t xml:space="preserve"> </w:t>
      </w:r>
      <w:r>
        <w:t>Office</w:t>
      </w:r>
      <w:r>
        <w:rPr>
          <w:spacing w:val="-7"/>
        </w:rPr>
        <w:t xml:space="preserve"> </w:t>
      </w:r>
      <w:r>
        <w:t>of</w:t>
      </w:r>
      <w:r>
        <w:rPr>
          <w:spacing w:val="-6"/>
        </w:rPr>
        <w:t xml:space="preserve"> </w:t>
      </w:r>
      <w:r>
        <w:t>Teaching</w:t>
      </w:r>
      <w:r>
        <w:rPr>
          <w:spacing w:val="-6"/>
        </w:rPr>
        <w:t xml:space="preserve"> </w:t>
      </w:r>
      <w:r>
        <w:t>and</w:t>
      </w:r>
      <w:r>
        <w:rPr>
          <w:spacing w:val="-2"/>
        </w:rPr>
        <w:t xml:space="preserve"> </w:t>
      </w:r>
      <w:r>
        <w:t>Learning Heather Ransom, Education Academic Program Consultant, Office of Teaching and Learning Micki Ray, Chief Academic Officer, Office of Teaching and Learning</w:t>
      </w:r>
    </w:p>
    <w:p w14:paraId="21AB16AA" w14:textId="77777777" w:rsidR="00FE7D60" w:rsidRDefault="008B77A0">
      <w:pPr>
        <w:pStyle w:val="BodyText"/>
        <w:spacing w:line="274" w:lineRule="exact"/>
        <w:ind w:left="826"/>
      </w:pPr>
      <w:r>
        <w:t>Todd</w:t>
      </w:r>
      <w:r>
        <w:rPr>
          <w:spacing w:val="-5"/>
        </w:rPr>
        <w:t xml:space="preserve"> </w:t>
      </w:r>
      <w:r>
        <w:t>Allen,</w:t>
      </w:r>
      <w:r>
        <w:rPr>
          <w:spacing w:val="-1"/>
        </w:rPr>
        <w:t xml:space="preserve"> </w:t>
      </w:r>
      <w:r>
        <w:t>General</w:t>
      </w:r>
      <w:r>
        <w:rPr>
          <w:spacing w:val="-7"/>
        </w:rPr>
        <w:t xml:space="preserve"> </w:t>
      </w:r>
      <w:r>
        <w:t>Counsel,</w:t>
      </w:r>
      <w:r>
        <w:rPr>
          <w:spacing w:val="-5"/>
        </w:rPr>
        <w:t xml:space="preserve"> </w:t>
      </w:r>
      <w:r>
        <w:t>Office</w:t>
      </w:r>
      <w:r>
        <w:rPr>
          <w:spacing w:val="-7"/>
        </w:rPr>
        <w:t xml:space="preserve"> </w:t>
      </w:r>
      <w:r>
        <w:t>of</w:t>
      </w:r>
      <w:r>
        <w:rPr>
          <w:spacing w:val="-5"/>
        </w:rPr>
        <w:t xml:space="preserve"> </w:t>
      </w:r>
      <w:r>
        <w:t>Legal</w:t>
      </w:r>
      <w:r>
        <w:rPr>
          <w:spacing w:val="-7"/>
        </w:rPr>
        <w:t xml:space="preserve"> </w:t>
      </w:r>
      <w:r>
        <w:rPr>
          <w:spacing w:val="-2"/>
        </w:rPr>
        <w:t>Services</w:t>
      </w:r>
    </w:p>
    <w:p w14:paraId="21AB16AB" w14:textId="77777777" w:rsidR="00FE7D60" w:rsidRDefault="00FE7D60">
      <w:pPr>
        <w:pStyle w:val="BodyText"/>
        <w:spacing w:before="2"/>
      </w:pPr>
    </w:p>
    <w:p w14:paraId="21AB16AC" w14:textId="77777777" w:rsidR="00FE7D60" w:rsidRDefault="008B77A0">
      <w:pPr>
        <w:pStyle w:val="ListParagraph"/>
        <w:numPr>
          <w:ilvl w:val="0"/>
          <w:numId w:val="2"/>
        </w:numPr>
        <w:tabs>
          <w:tab w:val="left" w:pos="3611"/>
          <w:tab w:val="left" w:pos="3612"/>
        </w:tabs>
        <w:spacing w:before="1"/>
        <w:ind w:left="3612"/>
        <w:jc w:val="left"/>
        <w:rPr>
          <w:sz w:val="24"/>
        </w:rPr>
      </w:pPr>
      <w:r>
        <w:rPr>
          <w:sz w:val="24"/>
        </w:rPr>
        <w:t>Summary</w:t>
      </w:r>
      <w:r>
        <w:rPr>
          <w:spacing w:val="-4"/>
          <w:sz w:val="24"/>
        </w:rPr>
        <w:t xml:space="preserve"> </w:t>
      </w:r>
      <w:r>
        <w:rPr>
          <w:sz w:val="24"/>
        </w:rPr>
        <w:t>of</w:t>
      </w:r>
      <w:r>
        <w:rPr>
          <w:spacing w:val="-3"/>
          <w:sz w:val="24"/>
        </w:rPr>
        <w:t xml:space="preserve"> </w:t>
      </w:r>
      <w:r>
        <w:rPr>
          <w:sz w:val="24"/>
        </w:rPr>
        <w:t>Comments</w:t>
      </w:r>
      <w:r>
        <w:rPr>
          <w:spacing w:val="-2"/>
          <w:sz w:val="24"/>
        </w:rPr>
        <w:t xml:space="preserve"> </w:t>
      </w:r>
      <w:r>
        <w:rPr>
          <w:sz w:val="24"/>
        </w:rPr>
        <w:t>and</w:t>
      </w:r>
      <w:r>
        <w:rPr>
          <w:spacing w:val="-3"/>
          <w:sz w:val="24"/>
        </w:rPr>
        <w:t xml:space="preserve"> </w:t>
      </w:r>
      <w:r>
        <w:rPr>
          <w:spacing w:val="-2"/>
          <w:sz w:val="24"/>
        </w:rPr>
        <w:t>Responses</w:t>
      </w:r>
    </w:p>
    <w:p w14:paraId="21AB16AD" w14:textId="77777777" w:rsidR="00FE7D60" w:rsidRDefault="00FE7D60">
      <w:pPr>
        <w:pStyle w:val="BodyText"/>
        <w:spacing w:before="9"/>
        <w:rPr>
          <w:sz w:val="23"/>
        </w:rPr>
      </w:pPr>
    </w:p>
    <w:p w14:paraId="21AB16AE" w14:textId="77777777" w:rsidR="00FE7D60" w:rsidRDefault="008B77A0">
      <w:pPr>
        <w:pStyle w:val="ListParagraph"/>
        <w:numPr>
          <w:ilvl w:val="0"/>
          <w:numId w:val="1"/>
        </w:numPr>
        <w:tabs>
          <w:tab w:val="left" w:pos="1186"/>
        </w:tabs>
        <w:spacing w:line="275" w:lineRule="exact"/>
        <w:rPr>
          <w:sz w:val="24"/>
        </w:rPr>
      </w:pPr>
      <w:r>
        <w:rPr>
          <w:sz w:val="24"/>
        </w:rPr>
        <w:t>Sub</w:t>
      </w:r>
      <w:r>
        <w:rPr>
          <w:sz w:val="24"/>
        </w:rPr>
        <w:t>ject</w:t>
      </w:r>
      <w:r>
        <w:rPr>
          <w:spacing w:val="-7"/>
          <w:sz w:val="24"/>
        </w:rPr>
        <w:t xml:space="preserve"> </w:t>
      </w:r>
      <w:r>
        <w:rPr>
          <w:sz w:val="24"/>
        </w:rPr>
        <w:t>Matter:</w:t>
      </w:r>
      <w:r>
        <w:rPr>
          <w:spacing w:val="-1"/>
          <w:sz w:val="24"/>
        </w:rPr>
        <w:t xml:space="preserve"> </w:t>
      </w:r>
      <w:r>
        <w:rPr>
          <w:sz w:val="24"/>
        </w:rPr>
        <w:t>Economics,</w:t>
      </w:r>
      <w:r>
        <w:rPr>
          <w:spacing w:val="-5"/>
          <w:sz w:val="24"/>
        </w:rPr>
        <w:t xml:space="preserve"> </w:t>
      </w:r>
      <w:r>
        <w:rPr>
          <w:spacing w:val="-2"/>
          <w:sz w:val="24"/>
        </w:rPr>
        <w:t>Cryptocurrency</w:t>
      </w:r>
    </w:p>
    <w:p w14:paraId="21AB16AF" w14:textId="77777777" w:rsidR="00FE7D60" w:rsidRDefault="008B77A0">
      <w:pPr>
        <w:pStyle w:val="ListParagraph"/>
        <w:numPr>
          <w:ilvl w:val="1"/>
          <w:numId w:val="1"/>
        </w:numPr>
        <w:tabs>
          <w:tab w:val="left" w:pos="1186"/>
        </w:tabs>
        <w:spacing w:line="242" w:lineRule="auto"/>
        <w:ind w:right="654"/>
        <w:rPr>
          <w:sz w:val="24"/>
        </w:rPr>
      </w:pPr>
      <w:r>
        <w:rPr>
          <w:sz w:val="24"/>
        </w:rPr>
        <w:t>Comment:</w:t>
      </w:r>
      <w:r>
        <w:rPr>
          <w:spacing w:val="-6"/>
          <w:sz w:val="24"/>
        </w:rPr>
        <w:t xml:space="preserve"> </w:t>
      </w:r>
      <w:r>
        <w:rPr>
          <w:sz w:val="24"/>
        </w:rPr>
        <w:t>Darcie</w:t>
      </w:r>
      <w:r>
        <w:rPr>
          <w:spacing w:val="-5"/>
          <w:sz w:val="24"/>
        </w:rPr>
        <w:t xml:space="preserve"> </w:t>
      </w:r>
      <w:r>
        <w:rPr>
          <w:sz w:val="24"/>
        </w:rPr>
        <w:t>Cayaba</w:t>
      </w:r>
      <w:r>
        <w:rPr>
          <w:spacing w:val="-4"/>
          <w:sz w:val="24"/>
        </w:rPr>
        <w:t xml:space="preserve"> </w:t>
      </w:r>
      <w:r>
        <w:rPr>
          <w:sz w:val="24"/>
        </w:rPr>
        <w:t>-</w:t>
      </w:r>
      <w:r>
        <w:rPr>
          <w:spacing w:val="-4"/>
          <w:sz w:val="24"/>
        </w:rPr>
        <w:t xml:space="preserve"> </w:t>
      </w:r>
      <w:r>
        <w:rPr>
          <w:sz w:val="24"/>
        </w:rPr>
        <w:t>Cryptocurrency</w:t>
      </w:r>
      <w:r>
        <w:rPr>
          <w:spacing w:val="-4"/>
          <w:sz w:val="24"/>
        </w:rPr>
        <w:t xml:space="preserve"> </w:t>
      </w:r>
      <w:r>
        <w:rPr>
          <w:sz w:val="24"/>
        </w:rPr>
        <w:t>is</w:t>
      </w:r>
      <w:r>
        <w:rPr>
          <w:spacing w:val="-3"/>
          <w:sz w:val="24"/>
        </w:rPr>
        <w:t xml:space="preserve"> </w:t>
      </w:r>
      <w:r>
        <w:rPr>
          <w:sz w:val="24"/>
        </w:rPr>
        <w:t>an</w:t>
      </w:r>
      <w:r>
        <w:rPr>
          <w:spacing w:val="-4"/>
          <w:sz w:val="24"/>
        </w:rPr>
        <w:t xml:space="preserve"> </w:t>
      </w:r>
      <w:r>
        <w:rPr>
          <w:sz w:val="24"/>
        </w:rPr>
        <w:t>important</w:t>
      </w:r>
      <w:r>
        <w:rPr>
          <w:spacing w:val="-5"/>
          <w:sz w:val="24"/>
        </w:rPr>
        <w:t xml:space="preserve"> </w:t>
      </w:r>
      <w:r>
        <w:rPr>
          <w:sz w:val="24"/>
        </w:rPr>
        <w:t>and</w:t>
      </w:r>
      <w:r>
        <w:rPr>
          <w:spacing w:val="-4"/>
          <w:sz w:val="24"/>
        </w:rPr>
        <w:t xml:space="preserve"> </w:t>
      </w:r>
      <w:r>
        <w:rPr>
          <w:sz w:val="24"/>
        </w:rPr>
        <w:t>relevant</w:t>
      </w:r>
      <w:r>
        <w:rPr>
          <w:spacing w:val="-5"/>
          <w:sz w:val="24"/>
        </w:rPr>
        <w:t xml:space="preserve"> </w:t>
      </w:r>
      <w:r>
        <w:rPr>
          <w:sz w:val="24"/>
        </w:rPr>
        <w:t>topic</w:t>
      </w:r>
      <w:r>
        <w:rPr>
          <w:spacing w:val="-1"/>
          <w:sz w:val="24"/>
        </w:rPr>
        <w:t xml:space="preserve"> </w:t>
      </w:r>
      <w:r>
        <w:rPr>
          <w:sz w:val="24"/>
        </w:rPr>
        <w:t xml:space="preserve">related to investments that should be included in the economics strand of the </w:t>
      </w:r>
      <w:r>
        <w:rPr>
          <w:i/>
          <w:sz w:val="24"/>
        </w:rPr>
        <w:t>Kentucky Academic Standards (KAS) for Social Studies</w:t>
      </w:r>
      <w:r>
        <w:rPr>
          <w:sz w:val="24"/>
        </w:rPr>
        <w:t>.</w:t>
      </w:r>
    </w:p>
    <w:p w14:paraId="21AB16B0" w14:textId="77777777" w:rsidR="00FE7D60" w:rsidRDefault="008B77A0">
      <w:pPr>
        <w:pStyle w:val="ListParagraph"/>
        <w:numPr>
          <w:ilvl w:val="1"/>
          <w:numId w:val="1"/>
        </w:numPr>
        <w:tabs>
          <w:tab w:val="left" w:pos="1186"/>
          <w:tab w:val="left" w:leader="dot" w:pos="7007"/>
        </w:tabs>
        <w:ind w:right="276"/>
        <w:rPr>
          <w:sz w:val="24"/>
        </w:rPr>
      </w:pPr>
      <w:r>
        <w:rPr>
          <w:sz w:val="24"/>
        </w:rPr>
        <w:t>Response: KRS 158.196(3)(a) states: “Notwithstanding the every six (6) year schedule set forth in KRS 158.6453(2)(a), no lat</w:t>
      </w:r>
      <w:r>
        <w:rPr>
          <w:sz w:val="24"/>
        </w:rPr>
        <w:t>er than July 1, 2023, the Kentucky Department of Education</w:t>
      </w:r>
      <w:r>
        <w:rPr>
          <w:spacing w:val="-1"/>
          <w:sz w:val="24"/>
        </w:rPr>
        <w:t xml:space="preserve"> </w:t>
      </w:r>
      <w:r>
        <w:rPr>
          <w:sz w:val="24"/>
        </w:rPr>
        <w:t>shall incorporate</w:t>
      </w:r>
      <w:r>
        <w:rPr>
          <w:spacing w:val="-1"/>
          <w:sz w:val="24"/>
        </w:rPr>
        <w:t xml:space="preserve"> </w:t>
      </w:r>
      <w:r>
        <w:rPr>
          <w:sz w:val="24"/>
        </w:rPr>
        <w:t>fundamental</w:t>
      </w:r>
      <w:r>
        <w:rPr>
          <w:spacing w:val="-3"/>
          <w:sz w:val="24"/>
        </w:rPr>
        <w:t xml:space="preserve"> </w:t>
      </w:r>
      <w:r>
        <w:rPr>
          <w:sz w:val="24"/>
        </w:rPr>
        <w:t>American</w:t>
      </w:r>
      <w:r>
        <w:rPr>
          <w:spacing w:val="-1"/>
          <w:sz w:val="24"/>
        </w:rPr>
        <w:t xml:space="preserve"> </w:t>
      </w:r>
      <w:r>
        <w:rPr>
          <w:sz w:val="24"/>
        </w:rPr>
        <w:t>documents and</w:t>
      </w:r>
      <w:r>
        <w:rPr>
          <w:spacing w:val="-1"/>
          <w:sz w:val="24"/>
        </w:rPr>
        <w:t xml:space="preserve"> </w:t>
      </w:r>
      <w:r>
        <w:rPr>
          <w:sz w:val="24"/>
        </w:rPr>
        <w:t>speeches into</w:t>
      </w:r>
      <w:r>
        <w:rPr>
          <w:spacing w:val="-1"/>
          <w:sz w:val="24"/>
        </w:rPr>
        <w:t xml:space="preserve"> </w:t>
      </w:r>
      <w:r>
        <w:rPr>
          <w:sz w:val="24"/>
        </w:rPr>
        <w:t>the</w:t>
      </w:r>
      <w:r>
        <w:rPr>
          <w:spacing w:val="-3"/>
          <w:sz w:val="24"/>
        </w:rPr>
        <w:t xml:space="preserve"> </w:t>
      </w:r>
      <w:r>
        <w:rPr>
          <w:sz w:val="24"/>
        </w:rPr>
        <w:t>grade- level appropriate middle and high school social studies academic standards and align corresponding</w:t>
      </w:r>
      <w:r>
        <w:rPr>
          <w:spacing w:val="-3"/>
          <w:sz w:val="24"/>
        </w:rPr>
        <w:t xml:space="preserve"> </w:t>
      </w:r>
      <w:r>
        <w:rPr>
          <w:sz w:val="24"/>
        </w:rPr>
        <w:t>assessments,</w:t>
      </w:r>
      <w:r>
        <w:rPr>
          <w:spacing w:val="-2"/>
          <w:sz w:val="24"/>
        </w:rPr>
        <w:t xml:space="preserve"> </w:t>
      </w:r>
      <w:r>
        <w:rPr>
          <w:sz w:val="24"/>
        </w:rPr>
        <w:t>includi</w:t>
      </w:r>
      <w:r>
        <w:rPr>
          <w:sz w:val="24"/>
        </w:rPr>
        <w:t>ng</w:t>
      </w:r>
      <w:r>
        <w:rPr>
          <w:spacing w:val="-2"/>
          <w:sz w:val="24"/>
        </w:rPr>
        <w:t xml:space="preserve"> </w:t>
      </w:r>
      <w:r>
        <w:rPr>
          <w:sz w:val="24"/>
        </w:rPr>
        <w:t>but</w:t>
      </w:r>
      <w:r>
        <w:rPr>
          <w:spacing w:val="-4"/>
          <w:sz w:val="24"/>
        </w:rPr>
        <w:t xml:space="preserve"> </w:t>
      </w:r>
      <w:r>
        <w:rPr>
          <w:sz w:val="24"/>
        </w:rPr>
        <w:t>not</w:t>
      </w:r>
      <w:r>
        <w:rPr>
          <w:spacing w:val="-5"/>
          <w:sz w:val="24"/>
        </w:rPr>
        <w:t xml:space="preserve"> </w:t>
      </w:r>
      <w:r>
        <w:rPr>
          <w:sz w:val="24"/>
        </w:rPr>
        <w:t>limited</w:t>
      </w:r>
      <w:r>
        <w:rPr>
          <w:spacing w:val="2"/>
          <w:sz w:val="24"/>
        </w:rPr>
        <w:t xml:space="preserve"> </w:t>
      </w:r>
      <w:r>
        <w:rPr>
          <w:spacing w:val="-5"/>
          <w:sz w:val="24"/>
        </w:rPr>
        <w:t>to</w:t>
      </w:r>
      <w:r>
        <w:rPr>
          <w:sz w:val="24"/>
        </w:rPr>
        <w:tab/>
        <w:t>”</w:t>
      </w:r>
      <w:r>
        <w:rPr>
          <w:spacing w:val="-5"/>
          <w:sz w:val="24"/>
        </w:rPr>
        <w:t xml:space="preserve"> </w:t>
      </w:r>
      <w:r>
        <w:rPr>
          <w:sz w:val="24"/>
        </w:rPr>
        <w:t>The</w:t>
      </w:r>
      <w:r>
        <w:rPr>
          <w:spacing w:val="-5"/>
          <w:sz w:val="24"/>
        </w:rPr>
        <w:t xml:space="preserve"> </w:t>
      </w:r>
      <w:r>
        <w:rPr>
          <w:sz w:val="24"/>
        </w:rPr>
        <w:t>proposed</w:t>
      </w:r>
      <w:r>
        <w:rPr>
          <w:spacing w:val="1"/>
          <w:sz w:val="24"/>
        </w:rPr>
        <w:t xml:space="preserve"> </w:t>
      </w:r>
      <w:r>
        <w:rPr>
          <w:sz w:val="24"/>
        </w:rPr>
        <w:t>amendments</w:t>
      </w:r>
      <w:r>
        <w:rPr>
          <w:spacing w:val="-2"/>
          <w:sz w:val="24"/>
        </w:rPr>
        <w:t xml:space="preserve"> </w:t>
      </w:r>
      <w:r>
        <w:rPr>
          <w:spacing w:val="-5"/>
          <w:sz w:val="24"/>
        </w:rPr>
        <w:t>to</w:t>
      </w:r>
    </w:p>
    <w:p w14:paraId="21AB16B1" w14:textId="77777777" w:rsidR="00FE7D60" w:rsidRDefault="008B77A0">
      <w:pPr>
        <w:pStyle w:val="BodyText"/>
        <w:ind w:left="1186"/>
      </w:pPr>
      <w:r>
        <w:rPr>
          <w:i/>
        </w:rPr>
        <w:t>Kentucky</w:t>
      </w:r>
      <w:r>
        <w:rPr>
          <w:i/>
          <w:spacing w:val="-6"/>
        </w:rPr>
        <w:t xml:space="preserve"> </w:t>
      </w:r>
      <w:r>
        <w:rPr>
          <w:i/>
        </w:rPr>
        <w:t>Academic</w:t>
      </w:r>
      <w:r>
        <w:rPr>
          <w:i/>
          <w:spacing w:val="-6"/>
        </w:rPr>
        <w:t xml:space="preserve"> </w:t>
      </w:r>
      <w:r>
        <w:rPr>
          <w:i/>
        </w:rPr>
        <w:t>Standards</w:t>
      </w:r>
      <w:r>
        <w:rPr>
          <w:i/>
          <w:spacing w:val="-4"/>
        </w:rPr>
        <w:t xml:space="preserve"> </w:t>
      </w:r>
      <w:r>
        <w:rPr>
          <w:i/>
        </w:rPr>
        <w:t>for</w:t>
      </w:r>
      <w:r>
        <w:rPr>
          <w:i/>
          <w:spacing w:val="-4"/>
        </w:rPr>
        <w:t xml:space="preserve"> </w:t>
      </w:r>
      <w:r>
        <w:rPr>
          <w:i/>
        </w:rPr>
        <w:t>Social</w:t>
      </w:r>
      <w:r>
        <w:rPr>
          <w:i/>
          <w:spacing w:val="-6"/>
        </w:rPr>
        <w:t xml:space="preserve"> </w:t>
      </w:r>
      <w:r>
        <w:rPr>
          <w:i/>
        </w:rPr>
        <w:t>Studies</w:t>
      </w:r>
      <w:r>
        <w:t>,</w:t>
      </w:r>
      <w:r>
        <w:rPr>
          <w:spacing w:val="-4"/>
        </w:rPr>
        <w:t xml:space="preserve"> </w:t>
      </w:r>
      <w:r>
        <w:t>the</w:t>
      </w:r>
      <w:r>
        <w:rPr>
          <w:spacing w:val="-2"/>
        </w:rPr>
        <w:t xml:space="preserve"> </w:t>
      </w:r>
      <w:r>
        <w:t>document</w:t>
      </w:r>
      <w:r>
        <w:rPr>
          <w:spacing w:val="-2"/>
        </w:rPr>
        <w:t xml:space="preserve"> </w:t>
      </w:r>
      <w:r>
        <w:t>incorporated</w:t>
      </w:r>
      <w:r>
        <w:rPr>
          <w:spacing w:val="-4"/>
        </w:rPr>
        <w:t xml:space="preserve"> </w:t>
      </w:r>
      <w:r>
        <w:t>by</w:t>
      </w:r>
      <w:r>
        <w:rPr>
          <w:spacing w:val="-4"/>
        </w:rPr>
        <w:t xml:space="preserve"> </w:t>
      </w:r>
      <w:r>
        <w:t>reference</w:t>
      </w:r>
      <w:r>
        <w:rPr>
          <w:spacing w:val="-2"/>
        </w:rPr>
        <w:t xml:space="preserve"> </w:t>
      </w:r>
      <w:r>
        <w:t>in 704 KAR 8:060, are to comply with KRS 158.196. While the agency acknowledges this comment, it is outside of the sco</w:t>
      </w:r>
      <w:r>
        <w:t>pe of KRS 158.196. Therefore, no amendments have been made in response to this comment.</w:t>
      </w:r>
    </w:p>
    <w:p w14:paraId="21AB16B2" w14:textId="77777777" w:rsidR="00FE7D60" w:rsidRDefault="00FE7D60">
      <w:pPr>
        <w:sectPr w:rsidR="00FE7D60">
          <w:footerReference w:type="default" r:id="rId7"/>
          <w:type w:val="continuous"/>
          <w:pgSz w:w="12240" w:h="15840"/>
          <w:pgMar w:top="1820" w:right="800" w:bottom="1200" w:left="1160" w:header="0" w:footer="1011" w:gutter="0"/>
          <w:pgNumType w:start="1"/>
          <w:cols w:space="720"/>
        </w:sectPr>
      </w:pPr>
    </w:p>
    <w:p w14:paraId="21AB16B3" w14:textId="77777777" w:rsidR="00FE7D60" w:rsidRDefault="008B77A0">
      <w:pPr>
        <w:pStyle w:val="ListParagraph"/>
        <w:numPr>
          <w:ilvl w:val="0"/>
          <w:numId w:val="1"/>
        </w:numPr>
        <w:tabs>
          <w:tab w:val="left" w:pos="1186"/>
        </w:tabs>
        <w:spacing w:before="61" w:line="275" w:lineRule="exact"/>
        <w:rPr>
          <w:sz w:val="24"/>
        </w:rPr>
      </w:pPr>
      <w:r>
        <w:rPr>
          <w:sz w:val="24"/>
        </w:rPr>
        <w:lastRenderedPageBreak/>
        <w:t>Subject</w:t>
      </w:r>
      <w:r>
        <w:rPr>
          <w:spacing w:val="-6"/>
          <w:sz w:val="24"/>
        </w:rPr>
        <w:t xml:space="preserve"> </w:t>
      </w:r>
      <w:r>
        <w:rPr>
          <w:sz w:val="24"/>
        </w:rPr>
        <w:t>Matter:</w:t>
      </w:r>
      <w:r>
        <w:rPr>
          <w:spacing w:val="-3"/>
          <w:sz w:val="24"/>
        </w:rPr>
        <w:t xml:space="preserve"> </w:t>
      </w:r>
      <w:r>
        <w:rPr>
          <w:sz w:val="24"/>
        </w:rPr>
        <w:t>Indian</w:t>
      </w:r>
      <w:r>
        <w:rPr>
          <w:spacing w:val="-3"/>
          <w:sz w:val="24"/>
        </w:rPr>
        <w:t xml:space="preserve"> </w:t>
      </w:r>
      <w:r>
        <w:rPr>
          <w:sz w:val="24"/>
        </w:rPr>
        <w:t>history</w:t>
      </w:r>
      <w:r>
        <w:rPr>
          <w:spacing w:val="1"/>
          <w:sz w:val="24"/>
        </w:rPr>
        <w:t xml:space="preserve"> </w:t>
      </w:r>
      <w:r>
        <w:rPr>
          <w:sz w:val="24"/>
        </w:rPr>
        <w:t>and</w:t>
      </w:r>
      <w:r>
        <w:rPr>
          <w:spacing w:val="-3"/>
          <w:sz w:val="24"/>
        </w:rPr>
        <w:t xml:space="preserve"> </w:t>
      </w:r>
      <w:r>
        <w:rPr>
          <w:sz w:val="24"/>
        </w:rPr>
        <w:t>Hindu</w:t>
      </w:r>
      <w:r>
        <w:rPr>
          <w:spacing w:val="-4"/>
          <w:sz w:val="24"/>
        </w:rPr>
        <w:t xml:space="preserve"> </w:t>
      </w:r>
      <w:r>
        <w:rPr>
          <w:spacing w:val="-2"/>
          <w:sz w:val="24"/>
        </w:rPr>
        <w:t>contributions</w:t>
      </w:r>
    </w:p>
    <w:p w14:paraId="21AB16B4" w14:textId="77777777" w:rsidR="00FE7D60" w:rsidRDefault="008B77A0">
      <w:pPr>
        <w:pStyle w:val="ListParagraph"/>
        <w:numPr>
          <w:ilvl w:val="1"/>
          <w:numId w:val="1"/>
        </w:numPr>
        <w:tabs>
          <w:tab w:val="left" w:pos="1186"/>
        </w:tabs>
        <w:ind w:right="195"/>
        <w:rPr>
          <w:sz w:val="24"/>
        </w:rPr>
      </w:pPr>
      <w:r>
        <w:rPr>
          <w:sz w:val="24"/>
        </w:rPr>
        <w:t>Comment: Shereen Bhalla, Ph.D.</w:t>
      </w:r>
      <w:r>
        <w:rPr>
          <w:spacing w:val="-16"/>
          <w:sz w:val="24"/>
        </w:rPr>
        <w:t xml:space="preserve"> </w:t>
      </w:r>
      <w:r>
        <w:rPr>
          <w:sz w:val="24"/>
        </w:rPr>
        <w:t>- The commenter requested that the empire of Chola India be added to the Disciplinary Clarification of standard 6.E.ST.1. Additionally, the commentator requested that the verb used in standard 6.E.ST.1 be changed from "compar</w:t>
      </w:r>
      <w:r>
        <w:rPr>
          <w:sz w:val="24"/>
        </w:rPr>
        <w:t>e" to</w:t>
      </w:r>
      <w:r>
        <w:rPr>
          <w:spacing w:val="-5"/>
          <w:sz w:val="24"/>
        </w:rPr>
        <w:t xml:space="preserve"> </w:t>
      </w:r>
      <w:r>
        <w:rPr>
          <w:sz w:val="24"/>
        </w:rPr>
        <w:t>"analyze."</w:t>
      </w:r>
      <w:r>
        <w:rPr>
          <w:spacing w:val="-4"/>
          <w:sz w:val="24"/>
        </w:rPr>
        <w:t xml:space="preserve"> </w:t>
      </w:r>
      <w:r>
        <w:rPr>
          <w:sz w:val="24"/>
        </w:rPr>
        <w:t>The</w:t>
      </w:r>
      <w:r>
        <w:rPr>
          <w:spacing w:val="-7"/>
          <w:sz w:val="24"/>
        </w:rPr>
        <w:t xml:space="preserve"> </w:t>
      </w:r>
      <w:r>
        <w:rPr>
          <w:sz w:val="24"/>
        </w:rPr>
        <w:t>commentor</w:t>
      </w:r>
      <w:r>
        <w:rPr>
          <w:spacing w:val="-1"/>
          <w:sz w:val="24"/>
        </w:rPr>
        <w:t xml:space="preserve"> </w:t>
      </w:r>
      <w:r>
        <w:rPr>
          <w:sz w:val="24"/>
        </w:rPr>
        <w:t>also</w:t>
      </w:r>
      <w:r>
        <w:rPr>
          <w:spacing w:val="-5"/>
          <w:sz w:val="24"/>
        </w:rPr>
        <w:t xml:space="preserve"> </w:t>
      </w:r>
      <w:r>
        <w:rPr>
          <w:sz w:val="24"/>
        </w:rPr>
        <w:t>requests</w:t>
      </w:r>
      <w:r>
        <w:rPr>
          <w:spacing w:val="-4"/>
          <w:sz w:val="24"/>
        </w:rPr>
        <w:t xml:space="preserve"> </w:t>
      </w:r>
      <w:r>
        <w:rPr>
          <w:sz w:val="24"/>
        </w:rPr>
        <w:t>replacing</w:t>
      </w:r>
      <w:r>
        <w:rPr>
          <w:spacing w:val="-1"/>
          <w:sz w:val="24"/>
        </w:rPr>
        <w:t xml:space="preserve"> </w:t>
      </w:r>
      <w:r>
        <w:rPr>
          <w:sz w:val="24"/>
        </w:rPr>
        <w:t>the</w:t>
      </w:r>
      <w:r>
        <w:rPr>
          <w:spacing w:val="-7"/>
          <w:sz w:val="24"/>
        </w:rPr>
        <w:t xml:space="preserve"> </w:t>
      </w:r>
      <w:r>
        <w:rPr>
          <w:sz w:val="24"/>
        </w:rPr>
        <w:t>"Sepoy</w:t>
      </w:r>
      <w:r>
        <w:rPr>
          <w:spacing w:val="-5"/>
          <w:sz w:val="24"/>
        </w:rPr>
        <w:t xml:space="preserve"> </w:t>
      </w:r>
      <w:r>
        <w:rPr>
          <w:sz w:val="24"/>
        </w:rPr>
        <w:t>Rebellion</w:t>
      </w:r>
      <w:r>
        <w:rPr>
          <w:spacing w:val="-5"/>
          <w:sz w:val="24"/>
        </w:rPr>
        <w:t xml:space="preserve"> </w:t>
      </w:r>
      <w:r>
        <w:rPr>
          <w:sz w:val="24"/>
        </w:rPr>
        <w:t>of</w:t>
      </w:r>
      <w:r>
        <w:rPr>
          <w:spacing w:val="-5"/>
          <w:sz w:val="24"/>
        </w:rPr>
        <w:t xml:space="preserve"> </w:t>
      </w:r>
      <w:r>
        <w:rPr>
          <w:sz w:val="24"/>
        </w:rPr>
        <w:t>1857"</w:t>
      </w:r>
      <w:r>
        <w:rPr>
          <w:spacing w:val="-4"/>
          <w:sz w:val="24"/>
        </w:rPr>
        <w:t xml:space="preserve"> </w:t>
      </w:r>
      <w:r>
        <w:rPr>
          <w:sz w:val="24"/>
        </w:rPr>
        <w:t>with</w:t>
      </w:r>
      <w:r>
        <w:rPr>
          <w:spacing w:val="-5"/>
          <w:sz w:val="24"/>
        </w:rPr>
        <w:t xml:space="preserve"> </w:t>
      </w:r>
      <w:r>
        <w:rPr>
          <w:sz w:val="24"/>
        </w:rPr>
        <w:t>the "First War of Indian Independence" in the disciplinary clarification statement for standard HS.WH.CE.7. Furthermore, the commentator requests that "Hindu-" be added to the disciplinary clarification statement for standard HS.WH.CH.2 where "Arabic numer</w:t>
      </w:r>
      <w:r>
        <w:rPr>
          <w:sz w:val="24"/>
        </w:rPr>
        <w:t xml:space="preserve">als" are </w:t>
      </w:r>
      <w:r>
        <w:rPr>
          <w:spacing w:val="-2"/>
          <w:sz w:val="24"/>
        </w:rPr>
        <w:t>mentioned.</w:t>
      </w:r>
    </w:p>
    <w:p w14:paraId="21AB16B5" w14:textId="77777777" w:rsidR="00FE7D60" w:rsidRDefault="008B77A0">
      <w:pPr>
        <w:pStyle w:val="ListParagraph"/>
        <w:numPr>
          <w:ilvl w:val="1"/>
          <w:numId w:val="1"/>
        </w:numPr>
        <w:tabs>
          <w:tab w:val="left" w:pos="1186"/>
        </w:tabs>
        <w:spacing w:before="3"/>
        <w:ind w:right="237"/>
        <w:rPr>
          <w:sz w:val="24"/>
        </w:rPr>
      </w:pPr>
      <w:r>
        <w:rPr>
          <w:sz w:val="24"/>
        </w:rPr>
        <w:t>Response: While the Kentucky Department of Education (KDE) is responsible for the development</w:t>
      </w:r>
      <w:r>
        <w:rPr>
          <w:spacing w:val="-6"/>
          <w:sz w:val="24"/>
        </w:rPr>
        <w:t xml:space="preserve"> </w:t>
      </w:r>
      <w:r>
        <w:rPr>
          <w:sz w:val="24"/>
        </w:rPr>
        <w:t>of</w:t>
      </w:r>
      <w:r>
        <w:rPr>
          <w:spacing w:val="-4"/>
          <w:sz w:val="24"/>
        </w:rPr>
        <w:t xml:space="preserve"> </w:t>
      </w:r>
      <w:r>
        <w:rPr>
          <w:sz w:val="24"/>
        </w:rPr>
        <w:t>high-quality</w:t>
      </w:r>
      <w:r>
        <w:rPr>
          <w:spacing w:val="-4"/>
          <w:sz w:val="24"/>
        </w:rPr>
        <w:t xml:space="preserve"> </w:t>
      </w:r>
      <w:r>
        <w:rPr>
          <w:sz w:val="24"/>
        </w:rPr>
        <w:t>academic</w:t>
      </w:r>
      <w:r>
        <w:rPr>
          <w:spacing w:val="-6"/>
          <w:sz w:val="24"/>
        </w:rPr>
        <w:t xml:space="preserve"> </w:t>
      </w:r>
      <w:r>
        <w:rPr>
          <w:sz w:val="24"/>
        </w:rPr>
        <w:t>standards,</w:t>
      </w:r>
      <w:r>
        <w:rPr>
          <w:spacing w:val="-3"/>
          <w:sz w:val="24"/>
        </w:rPr>
        <w:t xml:space="preserve"> </w:t>
      </w:r>
      <w:r>
        <w:rPr>
          <w:sz w:val="24"/>
        </w:rPr>
        <w:t>KDE</w:t>
      </w:r>
      <w:r>
        <w:rPr>
          <w:spacing w:val="-5"/>
          <w:sz w:val="24"/>
        </w:rPr>
        <w:t xml:space="preserve"> </w:t>
      </w:r>
      <w:r>
        <w:rPr>
          <w:sz w:val="24"/>
        </w:rPr>
        <w:t>does</w:t>
      </w:r>
      <w:r>
        <w:rPr>
          <w:spacing w:val="-2"/>
          <w:sz w:val="24"/>
        </w:rPr>
        <w:t xml:space="preserve"> </w:t>
      </w:r>
      <w:r>
        <w:rPr>
          <w:sz w:val="24"/>
        </w:rPr>
        <w:t>not</w:t>
      </w:r>
      <w:r>
        <w:rPr>
          <w:spacing w:val="-5"/>
          <w:sz w:val="24"/>
        </w:rPr>
        <w:t xml:space="preserve"> </w:t>
      </w:r>
      <w:r>
        <w:rPr>
          <w:sz w:val="24"/>
        </w:rPr>
        <w:t>adopt,</w:t>
      </w:r>
      <w:r>
        <w:rPr>
          <w:spacing w:val="-3"/>
          <w:sz w:val="24"/>
        </w:rPr>
        <w:t xml:space="preserve"> </w:t>
      </w:r>
      <w:r>
        <w:rPr>
          <w:sz w:val="24"/>
        </w:rPr>
        <w:t>select</w:t>
      </w:r>
      <w:r>
        <w:rPr>
          <w:spacing w:val="-5"/>
          <w:sz w:val="24"/>
        </w:rPr>
        <w:t xml:space="preserve"> </w:t>
      </w:r>
      <w:r>
        <w:rPr>
          <w:sz w:val="24"/>
        </w:rPr>
        <w:t>or</w:t>
      </w:r>
      <w:r>
        <w:rPr>
          <w:spacing w:val="-3"/>
          <w:sz w:val="24"/>
        </w:rPr>
        <w:t xml:space="preserve"> </w:t>
      </w:r>
      <w:r>
        <w:rPr>
          <w:sz w:val="24"/>
        </w:rPr>
        <w:t>recommend specific curricula for coursework. Per KRS 160.345(2)(g), “[t]he l</w:t>
      </w:r>
      <w:r>
        <w:rPr>
          <w:sz w:val="24"/>
        </w:rPr>
        <w:t>ocal superintendent shall determine</w:t>
      </w:r>
      <w:r>
        <w:rPr>
          <w:spacing w:val="-8"/>
          <w:sz w:val="24"/>
        </w:rPr>
        <w:t xml:space="preserve"> </w:t>
      </w:r>
      <w:r>
        <w:rPr>
          <w:sz w:val="24"/>
        </w:rPr>
        <w:t>which</w:t>
      </w:r>
      <w:r>
        <w:rPr>
          <w:spacing w:val="-2"/>
          <w:sz w:val="24"/>
        </w:rPr>
        <w:t xml:space="preserve"> </w:t>
      </w:r>
      <w:r>
        <w:rPr>
          <w:sz w:val="24"/>
        </w:rPr>
        <w:t>curriculum,</w:t>
      </w:r>
      <w:r>
        <w:rPr>
          <w:spacing w:val="-6"/>
          <w:sz w:val="24"/>
        </w:rPr>
        <w:t xml:space="preserve"> </w:t>
      </w:r>
      <w:r>
        <w:rPr>
          <w:sz w:val="24"/>
        </w:rPr>
        <w:t>textbooks,</w:t>
      </w:r>
      <w:r>
        <w:rPr>
          <w:spacing w:val="-6"/>
          <w:sz w:val="24"/>
        </w:rPr>
        <w:t xml:space="preserve"> </w:t>
      </w:r>
      <w:r>
        <w:rPr>
          <w:sz w:val="24"/>
        </w:rPr>
        <w:t>instructional</w:t>
      </w:r>
      <w:r>
        <w:rPr>
          <w:spacing w:val="-3"/>
          <w:sz w:val="24"/>
        </w:rPr>
        <w:t xml:space="preserve"> </w:t>
      </w:r>
      <w:r>
        <w:rPr>
          <w:sz w:val="24"/>
        </w:rPr>
        <w:t>materials,</w:t>
      </w:r>
      <w:r>
        <w:rPr>
          <w:spacing w:val="-6"/>
          <w:sz w:val="24"/>
        </w:rPr>
        <w:t xml:space="preserve"> </w:t>
      </w:r>
      <w:r>
        <w:rPr>
          <w:sz w:val="24"/>
        </w:rPr>
        <w:t>and</w:t>
      </w:r>
      <w:r>
        <w:rPr>
          <w:spacing w:val="-6"/>
          <w:sz w:val="24"/>
        </w:rPr>
        <w:t xml:space="preserve"> </w:t>
      </w:r>
      <w:r>
        <w:rPr>
          <w:sz w:val="24"/>
        </w:rPr>
        <w:t>student</w:t>
      </w:r>
      <w:r>
        <w:rPr>
          <w:spacing w:val="-8"/>
          <w:sz w:val="24"/>
        </w:rPr>
        <w:t xml:space="preserve"> </w:t>
      </w:r>
      <w:r>
        <w:rPr>
          <w:sz w:val="24"/>
        </w:rPr>
        <w:t>support</w:t>
      </w:r>
      <w:r>
        <w:rPr>
          <w:spacing w:val="-8"/>
          <w:sz w:val="24"/>
        </w:rPr>
        <w:t xml:space="preserve"> </w:t>
      </w:r>
      <w:r>
        <w:rPr>
          <w:sz w:val="24"/>
        </w:rPr>
        <w:t>services shall</w:t>
      </w:r>
      <w:r>
        <w:rPr>
          <w:spacing w:val="-2"/>
          <w:sz w:val="24"/>
        </w:rPr>
        <w:t xml:space="preserve"> </w:t>
      </w:r>
      <w:r>
        <w:rPr>
          <w:sz w:val="24"/>
        </w:rPr>
        <w:t>be</w:t>
      </w:r>
      <w:r>
        <w:rPr>
          <w:spacing w:val="-2"/>
          <w:sz w:val="24"/>
        </w:rPr>
        <w:t xml:space="preserve"> </w:t>
      </w:r>
      <w:r>
        <w:rPr>
          <w:sz w:val="24"/>
        </w:rPr>
        <w:t>provided in the</w:t>
      </w:r>
      <w:r>
        <w:rPr>
          <w:spacing w:val="-2"/>
          <w:sz w:val="24"/>
        </w:rPr>
        <w:t xml:space="preserve"> </w:t>
      </w:r>
      <w:r>
        <w:rPr>
          <w:sz w:val="24"/>
        </w:rPr>
        <w:t>school</w:t>
      </w:r>
      <w:r>
        <w:rPr>
          <w:spacing w:val="-2"/>
          <w:sz w:val="24"/>
        </w:rPr>
        <w:t xml:space="preserve"> </w:t>
      </w:r>
      <w:r>
        <w:rPr>
          <w:sz w:val="24"/>
        </w:rPr>
        <w:t>after consulting with the</w:t>
      </w:r>
      <w:r>
        <w:rPr>
          <w:spacing w:val="-2"/>
          <w:sz w:val="24"/>
        </w:rPr>
        <w:t xml:space="preserve"> </w:t>
      </w:r>
      <w:r>
        <w:rPr>
          <w:sz w:val="24"/>
        </w:rPr>
        <w:t>local</w:t>
      </w:r>
      <w:r>
        <w:rPr>
          <w:spacing w:val="-2"/>
          <w:sz w:val="24"/>
        </w:rPr>
        <w:t xml:space="preserve"> </w:t>
      </w:r>
      <w:r>
        <w:rPr>
          <w:sz w:val="24"/>
        </w:rPr>
        <w:t>board of education, the</w:t>
      </w:r>
      <w:r>
        <w:rPr>
          <w:spacing w:val="-2"/>
          <w:sz w:val="24"/>
        </w:rPr>
        <w:t xml:space="preserve"> </w:t>
      </w:r>
      <w:r>
        <w:rPr>
          <w:sz w:val="24"/>
        </w:rPr>
        <w:t>school principal, and the school council and afte</w:t>
      </w:r>
      <w:r>
        <w:rPr>
          <w:sz w:val="24"/>
        </w:rPr>
        <w:t>r a reasonable review and response period for stakeholders in accordance with local board of education policy.”</w:t>
      </w:r>
    </w:p>
    <w:p w14:paraId="21AB16B6" w14:textId="77777777" w:rsidR="00FE7D60" w:rsidRDefault="00FE7D60">
      <w:pPr>
        <w:pStyle w:val="BodyText"/>
        <w:spacing w:before="9"/>
        <w:rPr>
          <w:sz w:val="23"/>
        </w:rPr>
      </w:pPr>
    </w:p>
    <w:p w14:paraId="21AB16B7" w14:textId="77777777" w:rsidR="00FE7D60" w:rsidRDefault="008B77A0">
      <w:pPr>
        <w:pStyle w:val="BodyText"/>
        <w:ind w:left="1186" w:right="143"/>
      </w:pPr>
      <w:r>
        <w:t>It is important to note the difference between standards and disciplinary clarifications. A standard represents a goal or outcome of an educati</w:t>
      </w:r>
      <w:r>
        <w:t>onal program; standards are vertically aligned expected outcomes for all students. The standards do not dictate the design of a lesson</w:t>
      </w:r>
      <w:r>
        <w:rPr>
          <w:spacing w:val="-2"/>
        </w:rPr>
        <w:t xml:space="preserve"> </w:t>
      </w:r>
      <w:r>
        <w:t>plan</w:t>
      </w:r>
      <w:r>
        <w:rPr>
          <w:spacing w:val="-2"/>
        </w:rPr>
        <w:t xml:space="preserve"> </w:t>
      </w:r>
      <w:r>
        <w:t>or</w:t>
      </w:r>
      <w:r>
        <w:rPr>
          <w:spacing w:val="-2"/>
        </w:rPr>
        <w:t xml:space="preserve"> </w:t>
      </w:r>
      <w:r>
        <w:t>how</w:t>
      </w:r>
      <w:r>
        <w:rPr>
          <w:spacing w:val="-1"/>
        </w:rPr>
        <w:t xml:space="preserve"> </w:t>
      </w:r>
      <w:r>
        <w:t>units</w:t>
      </w:r>
      <w:r>
        <w:rPr>
          <w:spacing w:val="-1"/>
        </w:rPr>
        <w:t xml:space="preserve"> </w:t>
      </w:r>
      <w:r>
        <w:t>should</w:t>
      </w:r>
      <w:r>
        <w:rPr>
          <w:spacing w:val="-2"/>
        </w:rPr>
        <w:t xml:space="preserve"> </w:t>
      </w:r>
      <w:r>
        <w:t>be</w:t>
      </w:r>
      <w:r>
        <w:rPr>
          <w:spacing w:val="-4"/>
        </w:rPr>
        <w:t xml:space="preserve"> </w:t>
      </w:r>
      <w:r>
        <w:t>organized. The</w:t>
      </w:r>
      <w:r>
        <w:rPr>
          <w:spacing w:val="-4"/>
        </w:rPr>
        <w:t xml:space="preserve"> </w:t>
      </w:r>
      <w:r>
        <w:t>standards</w:t>
      </w:r>
      <w:r>
        <w:rPr>
          <w:spacing w:val="-1"/>
        </w:rPr>
        <w:t xml:space="preserve"> </w:t>
      </w:r>
      <w:r>
        <w:t>establish</w:t>
      </w:r>
      <w:r>
        <w:rPr>
          <w:spacing w:val="-2"/>
        </w:rPr>
        <w:t xml:space="preserve"> </w:t>
      </w:r>
      <w:r>
        <w:t>a</w:t>
      </w:r>
      <w:r>
        <w:rPr>
          <w:spacing w:val="-4"/>
        </w:rPr>
        <w:t xml:space="preserve"> </w:t>
      </w:r>
      <w:r>
        <w:t>statewide</w:t>
      </w:r>
      <w:r>
        <w:rPr>
          <w:spacing w:val="-4"/>
        </w:rPr>
        <w:t xml:space="preserve"> </w:t>
      </w:r>
      <w:r>
        <w:t>baseline</w:t>
      </w:r>
      <w:r>
        <w:rPr>
          <w:spacing w:val="-4"/>
        </w:rPr>
        <w:t xml:space="preserve"> </w:t>
      </w:r>
      <w:r>
        <w:t>of what</w:t>
      </w:r>
      <w:r>
        <w:rPr>
          <w:spacing w:val="-1"/>
        </w:rPr>
        <w:t xml:space="preserve"> </w:t>
      </w:r>
      <w:r>
        <w:t>students should know and be</w:t>
      </w:r>
      <w:r>
        <w:rPr>
          <w:spacing w:val="-1"/>
        </w:rPr>
        <w:t xml:space="preserve"> </w:t>
      </w:r>
      <w:r>
        <w:t>able</w:t>
      </w:r>
      <w:r>
        <w:rPr>
          <w:spacing w:val="-1"/>
        </w:rPr>
        <w:t xml:space="preserve"> </w:t>
      </w:r>
      <w:r>
        <w:t>to do at</w:t>
      </w:r>
      <w:r>
        <w:rPr>
          <w:spacing w:val="-1"/>
        </w:rPr>
        <w:t xml:space="preserve"> </w:t>
      </w:r>
      <w:r>
        <w:t>the conclusion of a</w:t>
      </w:r>
      <w:r>
        <w:rPr>
          <w:spacing w:val="-1"/>
        </w:rPr>
        <w:t xml:space="preserve"> </w:t>
      </w:r>
      <w:r>
        <w:t>grade</w:t>
      </w:r>
      <w:r>
        <w:rPr>
          <w:spacing w:val="-1"/>
        </w:rPr>
        <w:t xml:space="preserve"> </w:t>
      </w:r>
      <w:r>
        <w:t xml:space="preserve">or grade-span. The proposed version of the </w:t>
      </w:r>
      <w:r>
        <w:rPr>
          <w:i/>
        </w:rPr>
        <w:t>Kentucky Academic Standards for Social Studies</w:t>
      </w:r>
      <w:r>
        <w:t>, the document incorporated</w:t>
      </w:r>
      <w:r>
        <w:rPr>
          <w:spacing w:val="-4"/>
        </w:rPr>
        <w:t xml:space="preserve"> </w:t>
      </w:r>
      <w:r>
        <w:t>by</w:t>
      </w:r>
      <w:r>
        <w:rPr>
          <w:spacing w:val="-4"/>
        </w:rPr>
        <w:t xml:space="preserve"> </w:t>
      </w:r>
      <w:r>
        <w:t>reference</w:t>
      </w:r>
      <w:r>
        <w:rPr>
          <w:spacing w:val="-6"/>
        </w:rPr>
        <w:t xml:space="preserve"> </w:t>
      </w:r>
      <w:r>
        <w:t>in</w:t>
      </w:r>
      <w:r>
        <w:rPr>
          <w:spacing w:val="-4"/>
        </w:rPr>
        <w:t xml:space="preserve"> </w:t>
      </w:r>
      <w:r>
        <w:t>704</w:t>
      </w:r>
      <w:r>
        <w:rPr>
          <w:spacing w:val="-4"/>
        </w:rPr>
        <w:t xml:space="preserve"> </w:t>
      </w:r>
      <w:r>
        <w:t>KAR</w:t>
      </w:r>
      <w:r>
        <w:rPr>
          <w:spacing w:val="-4"/>
        </w:rPr>
        <w:t xml:space="preserve"> </w:t>
      </w:r>
      <w:r>
        <w:t>8:060,</w:t>
      </w:r>
      <w:r>
        <w:rPr>
          <w:spacing w:val="-1"/>
        </w:rPr>
        <w:t xml:space="preserve"> </w:t>
      </w:r>
      <w:r>
        <w:t>outlines</w:t>
      </w:r>
      <w:r>
        <w:rPr>
          <w:spacing w:val="-3"/>
        </w:rPr>
        <w:t xml:space="preserve"> </w:t>
      </w:r>
      <w:r>
        <w:t>the</w:t>
      </w:r>
      <w:r>
        <w:rPr>
          <w:spacing w:val="-6"/>
        </w:rPr>
        <w:t xml:space="preserve"> </w:t>
      </w:r>
      <w:r>
        <w:t>minimum</w:t>
      </w:r>
      <w:r>
        <w:rPr>
          <w:spacing w:val="-6"/>
        </w:rPr>
        <w:t xml:space="preserve"> </w:t>
      </w:r>
      <w:r>
        <w:t>content</w:t>
      </w:r>
      <w:r>
        <w:rPr>
          <w:spacing w:val="-6"/>
        </w:rPr>
        <w:t xml:space="preserve"> </w:t>
      </w:r>
      <w:r>
        <w:t>requirement</w:t>
      </w:r>
      <w:r>
        <w:t>s</w:t>
      </w:r>
      <w:r>
        <w:rPr>
          <w:spacing w:val="-3"/>
        </w:rPr>
        <w:t xml:space="preserve"> </w:t>
      </w:r>
      <w:r>
        <w:t>for Kentucky students at each grade level or grade band. Additionally, the standards address what is to be learned - what students must know and do - but do not address how learning experiences are to be designed, what resources should be used, or what s</w:t>
      </w:r>
      <w:r>
        <w:t>pecific curricular content should be taught.</w:t>
      </w:r>
    </w:p>
    <w:p w14:paraId="21AB16B8" w14:textId="77777777" w:rsidR="00FE7D60" w:rsidRDefault="00FE7D60">
      <w:pPr>
        <w:pStyle w:val="BodyText"/>
        <w:spacing w:before="4"/>
      </w:pPr>
    </w:p>
    <w:p w14:paraId="21AB16B9" w14:textId="77777777" w:rsidR="00FE7D60" w:rsidRDefault="008B77A0">
      <w:pPr>
        <w:pStyle w:val="BodyText"/>
        <w:ind w:left="1186" w:right="163"/>
      </w:pPr>
      <w:r>
        <w:t>The disciplinary clarifications, however, include sample ideas of content and concepts to help teachers better understand the expectations of the standards. The identified disciplinary clarifications are possib</w:t>
      </w:r>
      <w:r>
        <w:t>le suggestions; however, they are not the only pathways and are not comprehensive</w:t>
      </w:r>
      <w:r>
        <w:rPr>
          <w:spacing w:val="-6"/>
        </w:rPr>
        <w:t xml:space="preserve"> </w:t>
      </w:r>
      <w:r>
        <w:t>to</w:t>
      </w:r>
      <w:r>
        <w:rPr>
          <w:spacing w:val="-4"/>
        </w:rPr>
        <w:t xml:space="preserve"> </w:t>
      </w:r>
      <w:r>
        <w:t>obtain</w:t>
      </w:r>
      <w:r>
        <w:rPr>
          <w:spacing w:val="-4"/>
        </w:rPr>
        <w:t xml:space="preserve"> </w:t>
      </w:r>
      <w:r>
        <w:t>mastery</w:t>
      </w:r>
      <w:r>
        <w:rPr>
          <w:spacing w:val="-4"/>
        </w:rPr>
        <w:t xml:space="preserve"> </w:t>
      </w:r>
      <w:r>
        <w:t>of</w:t>
      </w:r>
      <w:r>
        <w:rPr>
          <w:spacing w:val="-4"/>
        </w:rPr>
        <w:t xml:space="preserve"> </w:t>
      </w:r>
      <w:r>
        <w:t>the</w:t>
      </w:r>
      <w:r>
        <w:rPr>
          <w:spacing w:val="-6"/>
        </w:rPr>
        <w:t xml:space="preserve"> </w:t>
      </w:r>
      <w:r>
        <w:t>standards.</w:t>
      </w:r>
      <w:r>
        <w:rPr>
          <w:spacing w:val="-4"/>
        </w:rPr>
        <w:t xml:space="preserve"> </w:t>
      </w:r>
      <w:r>
        <w:t>Therefore,</w:t>
      </w:r>
      <w:r>
        <w:rPr>
          <w:spacing w:val="-4"/>
        </w:rPr>
        <w:t xml:space="preserve"> </w:t>
      </w:r>
      <w:r>
        <w:t>a</w:t>
      </w:r>
      <w:r>
        <w:rPr>
          <w:spacing w:val="-1"/>
        </w:rPr>
        <w:t xml:space="preserve"> </w:t>
      </w:r>
      <w:r>
        <w:t>local</w:t>
      </w:r>
      <w:r>
        <w:rPr>
          <w:spacing w:val="-1"/>
        </w:rPr>
        <w:t xml:space="preserve"> </w:t>
      </w:r>
      <w:r>
        <w:t>curriculum</w:t>
      </w:r>
      <w:r>
        <w:rPr>
          <w:spacing w:val="-6"/>
        </w:rPr>
        <w:t xml:space="preserve"> </w:t>
      </w:r>
      <w:r>
        <w:t>may</w:t>
      </w:r>
      <w:r>
        <w:rPr>
          <w:spacing w:val="-4"/>
        </w:rPr>
        <w:t xml:space="preserve"> </w:t>
      </w:r>
      <w:r>
        <w:t>include additional information not contained within the disciplinary clarification statements.</w:t>
      </w:r>
    </w:p>
    <w:p w14:paraId="21AB16BA" w14:textId="77777777" w:rsidR="00FE7D60" w:rsidRDefault="00FE7D60">
      <w:pPr>
        <w:pStyle w:val="BodyText"/>
      </w:pPr>
    </w:p>
    <w:p w14:paraId="21AB16BB" w14:textId="77777777" w:rsidR="00FE7D60" w:rsidRDefault="008B77A0">
      <w:pPr>
        <w:pStyle w:val="BodyText"/>
        <w:ind w:left="1186" w:right="143"/>
      </w:pPr>
      <w:r>
        <w:t>Specific</w:t>
      </w:r>
      <w:r>
        <w:t xml:space="preserve">ally, the agency declines to add the Cholas Empire to the disciplinary clarification statement of standard 6.E.ST.1. In the justification provided, the commentator states, "the Cholas ruled most of south India from 800 to 1300 CE." Since the grade 6 theme </w:t>
      </w:r>
      <w:r>
        <w:t xml:space="preserve">is Development of Civilizations, the timeframe noted in the </w:t>
      </w:r>
      <w:r>
        <w:rPr>
          <w:i/>
        </w:rPr>
        <w:t xml:space="preserve">KAS for Social Studies </w:t>
      </w:r>
      <w:r>
        <w:t>for grade 6 is</w:t>
      </w:r>
      <w:r>
        <w:rPr>
          <w:spacing w:val="-2"/>
        </w:rPr>
        <w:t xml:space="preserve"> </w:t>
      </w:r>
      <w:r>
        <w:t>3500</w:t>
      </w:r>
      <w:r>
        <w:rPr>
          <w:spacing w:val="-3"/>
        </w:rPr>
        <w:t xml:space="preserve"> </w:t>
      </w:r>
      <w:r>
        <w:t>BCE-600</w:t>
      </w:r>
      <w:r>
        <w:rPr>
          <w:spacing w:val="-3"/>
        </w:rPr>
        <w:t xml:space="preserve"> </w:t>
      </w:r>
      <w:r>
        <w:t>CE.</w:t>
      </w:r>
      <w:r>
        <w:rPr>
          <w:spacing w:val="-3"/>
        </w:rPr>
        <w:t xml:space="preserve"> </w:t>
      </w:r>
      <w:r>
        <w:t>Therefore,</w:t>
      </w:r>
      <w:r>
        <w:rPr>
          <w:spacing w:val="-3"/>
        </w:rPr>
        <w:t xml:space="preserve"> </w:t>
      </w:r>
      <w:r>
        <w:t>this</w:t>
      </w:r>
      <w:r>
        <w:rPr>
          <w:spacing w:val="-2"/>
        </w:rPr>
        <w:t xml:space="preserve"> </w:t>
      </w:r>
      <w:r>
        <w:t>empire is</w:t>
      </w:r>
      <w:r>
        <w:rPr>
          <w:spacing w:val="-2"/>
        </w:rPr>
        <w:t xml:space="preserve"> </w:t>
      </w:r>
      <w:r>
        <w:t>outside</w:t>
      </w:r>
      <w:r>
        <w:rPr>
          <w:spacing w:val="-5"/>
        </w:rPr>
        <w:t xml:space="preserve"> </w:t>
      </w:r>
      <w:r>
        <w:t>of</w:t>
      </w:r>
      <w:r>
        <w:rPr>
          <w:spacing w:val="-3"/>
        </w:rPr>
        <w:t xml:space="preserve"> </w:t>
      </w:r>
      <w:r>
        <w:t>the</w:t>
      </w:r>
      <w:r>
        <w:rPr>
          <w:spacing w:val="-5"/>
        </w:rPr>
        <w:t xml:space="preserve"> </w:t>
      </w:r>
      <w:r>
        <w:t>time</w:t>
      </w:r>
      <w:r>
        <w:rPr>
          <w:spacing w:val="-5"/>
        </w:rPr>
        <w:t xml:space="preserve"> </w:t>
      </w:r>
      <w:r>
        <w:t>frame</w:t>
      </w:r>
      <w:r>
        <w:rPr>
          <w:spacing w:val="-5"/>
        </w:rPr>
        <w:t xml:space="preserve"> </w:t>
      </w:r>
      <w:r>
        <w:t>explored</w:t>
      </w:r>
      <w:r>
        <w:rPr>
          <w:spacing w:val="-3"/>
        </w:rPr>
        <w:t xml:space="preserve"> </w:t>
      </w:r>
      <w:r>
        <w:t>by grade</w:t>
      </w:r>
      <w:r>
        <w:rPr>
          <w:spacing w:val="-5"/>
        </w:rPr>
        <w:t xml:space="preserve"> </w:t>
      </w:r>
      <w:r>
        <w:t>6 students in Kentucky. In addition, this comment is outside of the scope of KRS 158.196.</w:t>
      </w:r>
    </w:p>
    <w:p w14:paraId="21AB16BC" w14:textId="77777777" w:rsidR="00FE7D60" w:rsidRDefault="00FE7D60">
      <w:pPr>
        <w:pStyle w:val="BodyText"/>
        <w:spacing w:before="10"/>
        <w:rPr>
          <w:sz w:val="23"/>
        </w:rPr>
      </w:pPr>
    </w:p>
    <w:p w14:paraId="21AB16BD" w14:textId="77777777" w:rsidR="00FE7D60" w:rsidRDefault="008B77A0">
      <w:pPr>
        <w:pStyle w:val="BodyText"/>
        <w:ind w:left="1186"/>
      </w:pPr>
      <w:r>
        <w:t>The agency also declines to change the verb from "compare" to "analyze" for standard 6.E.ST.1.</w:t>
      </w:r>
      <w:r>
        <w:rPr>
          <w:spacing w:val="-4"/>
        </w:rPr>
        <w:t xml:space="preserve"> </w:t>
      </w:r>
      <w:r>
        <w:t>In</w:t>
      </w:r>
      <w:r>
        <w:rPr>
          <w:spacing w:val="-4"/>
        </w:rPr>
        <w:t xml:space="preserve"> </w:t>
      </w:r>
      <w:r>
        <w:t>the</w:t>
      </w:r>
      <w:r>
        <w:rPr>
          <w:spacing w:val="-6"/>
        </w:rPr>
        <w:t xml:space="preserve"> </w:t>
      </w:r>
      <w:r>
        <w:t>justification</w:t>
      </w:r>
      <w:r>
        <w:rPr>
          <w:spacing w:val="-4"/>
        </w:rPr>
        <w:t xml:space="preserve"> </w:t>
      </w:r>
      <w:r>
        <w:t>provided</w:t>
      </w:r>
      <w:r>
        <w:rPr>
          <w:spacing w:val="-4"/>
        </w:rPr>
        <w:t xml:space="preserve"> </w:t>
      </w:r>
      <w:r>
        <w:t>recommending</w:t>
      </w:r>
      <w:r>
        <w:rPr>
          <w:spacing w:val="-4"/>
        </w:rPr>
        <w:t xml:space="preserve"> </w:t>
      </w:r>
      <w:r>
        <w:t>the</w:t>
      </w:r>
      <w:r>
        <w:rPr>
          <w:spacing w:val="-6"/>
        </w:rPr>
        <w:t xml:space="preserve"> </w:t>
      </w:r>
      <w:r>
        <w:t>change,</w:t>
      </w:r>
      <w:r>
        <w:rPr>
          <w:spacing w:val="-4"/>
        </w:rPr>
        <w:t xml:space="preserve"> </w:t>
      </w:r>
      <w:r>
        <w:t>the</w:t>
      </w:r>
      <w:r>
        <w:rPr>
          <w:spacing w:val="-2"/>
        </w:rPr>
        <w:t xml:space="preserve"> </w:t>
      </w:r>
      <w:r>
        <w:t>commentor</w:t>
      </w:r>
      <w:r>
        <w:rPr>
          <w:spacing w:val="-4"/>
        </w:rPr>
        <w:t xml:space="preserve"> </w:t>
      </w:r>
      <w:r>
        <w:t>s</w:t>
      </w:r>
      <w:r>
        <w:t>tated</w:t>
      </w:r>
      <w:r>
        <w:rPr>
          <w:spacing w:val="-4"/>
        </w:rPr>
        <w:t xml:space="preserve"> </w:t>
      </w:r>
      <w:r>
        <w:t>that standards that use the verb "compare" are “problematic” because they "facilitate ranking of cultural facets." This is not the intent of the standard. The disciplinary clarification for this</w:t>
      </w:r>
    </w:p>
    <w:p w14:paraId="21AB16BE" w14:textId="77777777" w:rsidR="00FE7D60" w:rsidRDefault="00FE7D60">
      <w:pPr>
        <w:sectPr w:rsidR="00FE7D60">
          <w:pgSz w:w="12240" w:h="15840"/>
          <w:pgMar w:top="1380" w:right="800" w:bottom="1200" w:left="1160" w:header="0" w:footer="1011" w:gutter="0"/>
          <w:cols w:space="720"/>
        </w:sectPr>
      </w:pPr>
    </w:p>
    <w:p w14:paraId="21AB16BF" w14:textId="77777777" w:rsidR="00FE7D60" w:rsidRDefault="008B77A0">
      <w:pPr>
        <w:pStyle w:val="BodyText"/>
        <w:spacing w:before="61"/>
        <w:ind w:left="1186"/>
      </w:pPr>
      <w:r>
        <w:lastRenderedPageBreak/>
        <w:t>standard focuses on the impact of the dif</w:t>
      </w:r>
      <w:r>
        <w:t>ferences between the physical geography of the region,</w:t>
      </w:r>
      <w:r>
        <w:rPr>
          <w:spacing w:val="-4"/>
        </w:rPr>
        <w:t xml:space="preserve"> </w:t>
      </w:r>
      <w:r>
        <w:t>the</w:t>
      </w:r>
      <w:r>
        <w:rPr>
          <w:spacing w:val="-5"/>
        </w:rPr>
        <w:t xml:space="preserve"> </w:t>
      </w:r>
      <w:r>
        <w:t>goods</w:t>
      </w:r>
      <w:r>
        <w:rPr>
          <w:spacing w:val="-3"/>
        </w:rPr>
        <w:t xml:space="preserve"> </w:t>
      </w:r>
      <w:r>
        <w:t>that</w:t>
      </w:r>
      <w:r>
        <w:rPr>
          <w:spacing w:val="-5"/>
        </w:rPr>
        <w:t xml:space="preserve"> </w:t>
      </w:r>
      <w:r>
        <w:t>were</w:t>
      </w:r>
      <w:r>
        <w:rPr>
          <w:spacing w:val="-5"/>
        </w:rPr>
        <w:t xml:space="preserve"> </w:t>
      </w:r>
      <w:r>
        <w:t>produced</w:t>
      </w:r>
      <w:r>
        <w:rPr>
          <w:spacing w:val="-4"/>
        </w:rPr>
        <w:t xml:space="preserve"> </w:t>
      </w:r>
      <w:r>
        <w:t>and</w:t>
      </w:r>
      <w:r>
        <w:rPr>
          <w:spacing w:val="-4"/>
        </w:rPr>
        <w:t xml:space="preserve"> </w:t>
      </w:r>
      <w:r>
        <w:t>how</w:t>
      </w:r>
      <w:r>
        <w:rPr>
          <w:spacing w:val="-3"/>
        </w:rPr>
        <w:t xml:space="preserve"> </w:t>
      </w:r>
      <w:r>
        <w:t>this</w:t>
      </w:r>
      <w:r>
        <w:rPr>
          <w:spacing w:val="-3"/>
        </w:rPr>
        <w:t xml:space="preserve"> </w:t>
      </w:r>
      <w:r>
        <w:t>contributed to</w:t>
      </w:r>
      <w:r>
        <w:rPr>
          <w:spacing w:val="-4"/>
        </w:rPr>
        <w:t xml:space="preserve"> </w:t>
      </w:r>
      <w:r>
        <w:t>the</w:t>
      </w:r>
      <w:r>
        <w:rPr>
          <w:spacing w:val="-5"/>
        </w:rPr>
        <w:t xml:space="preserve"> </w:t>
      </w:r>
      <w:r>
        <w:t>specialization</w:t>
      </w:r>
      <w:r>
        <w:rPr>
          <w:spacing w:val="-4"/>
        </w:rPr>
        <w:t xml:space="preserve"> </w:t>
      </w:r>
      <w:r>
        <w:t>of</w:t>
      </w:r>
      <w:r>
        <w:rPr>
          <w:spacing w:val="-4"/>
        </w:rPr>
        <w:t xml:space="preserve"> </w:t>
      </w:r>
      <w:r>
        <w:t>each region. In addition, this comment is outside of the scope of KRS 158.196.</w:t>
      </w:r>
    </w:p>
    <w:p w14:paraId="21AB16C0" w14:textId="77777777" w:rsidR="00FE7D60" w:rsidRDefault="00FE7D60">
      <w:pPr>
        <w:pStyle w:val="BodyText"/>
        <w:spacing w:before="2"/>
      </w:pPr>
    </w:p>
    <w:p w14:paraId="21AB16C1" w14:textId="77777777" w:rsidR="00FE7D60" w:rsidRDefault="008B77A0">
      <w:pPr>
        <w:pStyle w:val="BodyText"/>
        <w:ind w:left="1186" w:right="143"/>
      </w:pPr>
      <w:r>
        <w:t>The agency declines to change “Sepoy Rebel</w:t>
      </w:r>
      <w:r>
        <w:t>lion of 1857” with the “First War of Indian Independence” in the disciplinary clarification for HS.WH.CE.7. State and national documents</w:t>
      </w:r>
      <w:r>
        <w:rPr>
          <w:spacing w:val="-2"/>
        </w:rPr>
        <w:t xml:space="preserve"> </w:t>
      </w:r>
      <w:r>
        <w:t>differ</w:t>
      </w:r>
      <w:r>
        <w:rPr>
          <w:spacing w:val="-3"/>
        </w:rPr>
        <w:t xml:space="preserve"> </w:t>
      </w:r>
      <w:r>
        <w:t>in</w:t>
      </w:r>
      <w:r>
        <w:rPr>
          <w:spacing w:val="-3"/>
        </w:rPr>
        <w:t xml:space="preserve"> </w:t>
      </w:r>
      <w:r>
        <w:t>how</w:t>
      </w:r>
      <w:r>
        <w:rPr>
          <w:spacing w:val="-2"/>
        </w:rPr>
        <w:t xml:space="preserve"> </w:t>
      </w:r>
      <w:r>
        <w:t>the event</w:t>
      </w:r>
      <w:r>
        <w:rPr>
          <w:spacing w:val="-5"/>
        </w:rPr>
        <w:t xml:space="preserve"> </w:t>
      </w:r>
      <w:r>
        <w:t>is</w:t>
      </w:r>
      <w:r>
        <w:rPr>
          <w:spacing w:val="-2"/>
        </w:rPr>
        <w:t xml:space="preserve"> </w:t>
      </w:r>
      <w:r>
        <w:t>cited</w:t>
      </w:r>
      <w:r>
        <w:rPr>
          <w:spacing w:val="-3"/>
        </w:rPr>
        <w:t xml:space="preserve"> </w:t>
      </w:r>
      <w:r>
        <w:t>while</w:t>
      </w:r>
      <w:r>
        <w:rPr>
          <w:spacing w:val="-5"/>
        </w:rPr>
        <w:t xml:space="preserve"> </w:t>
      </w:r>
      <w:r>
        <w:t>many other</w:t>
      </w:r>
      <w:r>
        <w:rPr>
          <w:spacing w:val="-3"/>
        </w:rPr>
        <w:t xml:space="preserve"> </w:t>
      </w:r>
      <w:r>
        <w:t>state’s</w:t>
      </w:r>
      <w:r>
        <w:rPr>
          <w:spacing w:val="-2"/>
        </w:rPr>
        <w:t xml:space="preserve"> </w:t>
      </w:r>
      <w:r>
        <w:t>social</w:t>
      </w:r>
      <w:r>
        <w:rPr>
          <w:spacing w:val="-5"/>
        </w:rPr>
        <w:t xml:space="preserve"> </w:t>
      </w:r>
      <w:r>
        <w:t>studies</w:t>
      </w:r>
      <w:r>
        <w:rPr>
          <w:spacing w:val="-2"/>
        </w:rPr>
        <w:t xml:space="preserve"> </w:t>
      </w:r>
      <w:r>
        <w:t>documents do not mention the event. It is important to note, again, that the identified disciplinary clarifications are possible suggestions; however, they are not the only pathways and are not comprehensive</w:t>
      </w:r>
      <w:r>
        <w:rPr>
          <w:spacing w:val="-6"/>
        </w:rPr>
        <w:t xml:space="preserve"> </w:t>
      </w:r>
      <w:r>
        <w:t>to</w:t>
      </w:r>
      <w:r>
        <w:rPr>
          <w:spacing w:val="-4"/>
        </w:rPr>
        <w:t xml:space="preserve"> </w:t>
      </w:r>
      <w:r>
        <w:t>obtain</w:t>
      </w:r>
      <w:r>
        <w:rPr>
          <w:spacing w:val="-4"/>
        </w:rPr>
        <w:t xml:space="preserve"> </w:t>
      </w:r>
      <w:r>
        <w:t>mastery</w:t>
      </w:r>
      <w:r>
        <w:rPr>
          <w:spacing w:val="-4"/>
        </w:rPr>
        <w:t xml:space="preserve"> </w:t>
      </w:r>
      <w:r>
        <w:t>of</w:t>
      </w:r>
      <w:r>
        <w:rPr>
          <w:spacing w:val="-4"/>
        </w:rPr>
        <w:t xml:space="preserve"> </w:t>
      </w:r>
      <w:r>
        <w:t>the</w:t>
      </w:r>
      <w:r>
        <w:rPr>
          <w:spacing w:val="-6"/>
        </w:rPr>
        <w:t xml:space="preserve"> </w:t>
      </w:r>
      <w:r>
        <w:t>standards.</w:t>
      </w:r>
      <w:r>
        <w:rPr>
          <w:spacing w:val="-4"/>
        </w:rPr>
        <w:t xml:space="preserve"> </w:t>
      </w:r>
      <w:r>
        <w:t>As</w:t>
      </w:r>
      <w:r>
        <w:rPr>
          <w:spacing w:val="-3"/>
        </w:rPr>
        <w:t xml:space="preserve"> </w:t>
      </w:r>
      <w:r>
        <w:t>a</w:t>
      </w:r>
      <w:r>
        <w:rPr>
          <w:spacing w:val="-6"/>
        </w:rPr>
        <w:t xml:space="preserve"> </w:t>
      </w:r>
      <w:r>
        <w:t>result,</w:t>
      </w:r>
      <w:r>
        <w:rPr>
          <w:spacing w:val="-4"/>
        </w:rPr>
        <w:t xml:space="preserve"> </w:t>
      </w:r>
      <w:r>
        <w:t>local</w:t>
      </w:r>
      <w:r>
        <w:rPr>
          <w:spacing w:val="-6"/>
        </w:rPr>
        <w:t xml:space="preserve"> </w:t>
      </w:r>
      <w:r>
        <w:t>boards</w:t>
      </w:r>
      <w:r>
        <w:rPr>
          <w:spacing w:val="-3"/>
        </w:rPr>
        <w:t xml:space="preserve"> </w:t>
      </w:r>
      <w:r>
        <w:t>of</w:t>
      </w:r>
      <w:r>
        <w:rPr>
          <w:spacing w:val="-4"/>
        </w:rPr>
        <w:t xml:space="preserve"> </w:t>
      </w:r>
      <w:r>
        <w:t>education may use both terms, favor using one term over another, or explain the perspectives of naming a historical event when including this event in local curriculum. In addition, this comment is outside of the scope of KRS 158.196.</w:t>
      </w:r>
    </w:p>
    <w:p w14:paraId="21AB16C2" w14:textId="77777777" w:rsidR="00FE7D60" w:rsidRDefault="008B77A0">
      <w:pPr>
        <w:pStyle w:val="BodyText"/>
        <w:spacing w:before="182"/>
        <w:ind w:left="1186"/>
      </w:pPr>
      <w:r>
        <w:t xml:space="preserve">The </w:t>
      </w:r>
      <w:r>
        <w:t>agency further declines to add "Hindu" to "Arabic numerals" in the disciplinary clarification statement for HS.WH.CH.2. As previously stated, the identified disciplinary clarifications are possible suggestions; however, they are not the only pathways and a</w:t>
      </w:r>
      <w:r>
        <w:t>re not comprehensive</w:t>
      </w:r>
      <w:r>
        <w:rPr>
          <w:spacing w:val="-6"/>
        </w:rPr>
        <w:t xml:space="preserve"> </w:t>
      </w:r>
      <w:r>
        <w:t>to</w:t>
      </w:r>
      <w:r>
        <w:rPr>
          <w:spacing w:val="-4"/>
        </w:rPr>
        <w:t xml:space="preserve"> </w:t>
      </w:r>
      <w:r>
        <w:t>obtain</w:t>
      </w:r>
      <w:r>
        <w:rPr>
          <w:spacing w:val="-4"/>
        </w:rPr>
        <w:t xml:space="preserve"> </w:t>
      </w:r>
      <w:r>
        <w:t>mastery</w:t>
      </w:r>
      <w:r>
        <w:rPr>
          <w:spacing w:val="-4"/>
        </w:rPr>
        <w:t xml:space="preserve"> </w:t>
      </w:r>
      <w:r>
        <w:t>of</w:t>
      </w:r>
      <w:r>
        <w:rPr>
          <w:spacing w:val="-4"/>
        </w:rPr>
        <w:t xml:space="preserve"> </w:t>
      </w:r>
      <w:r>
        <w:t>the</w:t>
      </w:r>
      <w:r>
        <w:rPr>
          <w:spacing w:val="-6"/>
        </w:rPr>
        <w:t xml:space="preserve"> </w:t>
      </w:r>
      <w:r>
        <w:t>standards.</w:t>
      </w:r>
      <w:r>
        <w:rPr>
          <w:spacing w:val="-4"/>
        </w:rPr>
        <w:t xml:space="preserve"> </w:t>
      </w:r>
      <w:r>
        <w:t>As</w:t>
      </w:r>
      <w:r>
        <w:rPr>
          <w:spacing w:val="-3"/>
        </w:rPr>
        <w:t xml:space="preserve"> </w:t>
      </w:r>
      <w:r>
        <w:t>a</w:t>
      </w:r>
      <w:r>
        <w:rPr>
          <w:spacing w:val="-6"/>
        </w:rPr>
        <w:t xml:space="preserve"> </w:t>
      </w:r>
      <w:r>
        <w:t>result,</w:t>
      </w:r>
      <w:r>
        <w:rPr>
          <w:spacing w:val="-4"/>
        </w:rPr>
        <w:t xml:space="preserve"> </w:t>
      </w:r>
      <w:r>
        <w:t>local</w:t>
      </w:r>
      <w:r>
        <w:rPr>
          <w:spacing w:val="-6"/>
        </w:rPr>
        <w:t xml:space="preserve"> </w:t>
      </w:r>
      <w:r>
        <w:t>boards</w:t>
      </w:r>
      <w:r>
        <w:rPr>
          <w:spacing w:val="-3"/>
        </w:rPr>
        <w:t xml:space="preserve"> </w:t>
      </w:r>
      <w:r>
        <w:t>of</w:t>
      </w:r>
      <w:r>
        <w:rPr>
          <w:spacing w:val="-4"/>
        </w:rPr>
        <w:t xml:space="preserve"> </w:t>
      </w:r>
      <w:r>
        <w:t>education may refer</w:t>
      </w:r>
      <w:r>
        <w:rPr>
          <w:spacing w:val="-2"/>
        </w:rPr>
        <w:t xml:space="preserve"> </w:t>
      </w:r>
      <w:r>
        <w:t>to</w:t>
      </w:r>
      <w:r>
        <w:rPr>
          <w:spacing w:val="-2"/>
        </w:rPr>
        <w:t xml:space="preserve"> </w:t>
      </w:r>
      <w:r>
        <w:t>"Hindu-Arabic</w:t>
      </w:r>
      <w:r>
        <w:rPr>
          <w:spacing w:val="-4"/>
        </w:rPr>
        <w:t xml:space="preserve"> </w:t>
      </w:r>
      <w:r>
        <w:t>numerals"</w:t>
      </w:r>
      <w:r>
        <w:rPr>
          <w:spacing w:val="-1"/>
        </w:rPr>
        <w:t xml:space="preserve"> </w:t>
      </w:r>
      <w:r>
        <w:t>when</w:t>
      </w:r>
      <w:r>
        <w:rPr>
          <w:spacing w:val="-2"/>
        </w:rPr>
        <w:t xml:space="preserve"> </w:t>
      </w:r>
      <w:r>
        <w:t>implementing</w:t>
      </w:r>
      <w:r>
        <w:rPr>
          <w:spacing w:val="-2"/>
        </w:rPr>
        <w:t xml:space="preserve"> </w:t>
      </w:r>
      <w:r>
        <w:t>the</w:t>
      </w:r>
      <w:r>
        <w:rPr>
          <w:spacing w:val="-4"/>
        </w:rPr>
        <w:t xml:space="preserve"> </w:t>
      </w:r>
      <w:r>
        <w:t>academic</w:t>
      </w:r>
      <w:r>
        <w:rPr>
          <w:spacing w:val="-4"/>
        </w:rPr>
        <w:t xml:space="preserve"> </w:t>
      </w:r>
      <w:r>
        <w:t>standards. Additionally, this comment is outside of the scope of KRS 158.196.</w:t>
      </w:r>
    </w:p>
    <w:p w14:paraId="21AB16C3" w14:textId="77777777" w:rsidR="00FE7D60" w:rsidRDefault="00FE7D60">
      <w:pPr>
        <w:pStyle w:val="BodyText"/>
        <w:spacing w:before="3"/>
      </w:pPr>
    </w:p>
    <w:p w14:paraId="21AB16C4" w14:textId="77777777" w:rsidR="00FE7D60" w:rsidRDefault="008B77A0">
      <w:pPr>
        <w:pStyle w:val="BodyText"/>
        <w:spacing w:before="1"/>
        <w:ind w:left="1186"/>
      </w:pPr>
      <w:r>
        <w:t>No</w:t>
      </w:r>
      <w:r>
        <w:rPr>
          <w:spacing w:val="-5"/>
        </w:rPr>
        <w:t xml:space="preserve"> </w:t>
      </w:r>
      <w:r>
        <w:t>amendments</w:t>
      </w:r>
      <w:r>
        <w:rPr>
          <w:spacing w:val="-3"/>
        </w:rPr>
        <w:t xml:space="preserve"> </w:t>
      </w:r>
      <w:r>
        <w:t>have</w:t>
      </w:r>
      <w:r>
        <w:rPr>
          <w:spacing w:val="-6"/>
        </w:rPr>
        <w:t xml:space="preserve"> </w:t>
      </w:r>
      <w:r>
        <w:t>been made</w:t>
      </w:r>
      <w:r>
        <w:rPr>
          <w:spacing w:val="-1"/>
        </w:rPr>
        <w:t xml:space="preserve"> </w:t>
      </w:r>
      <w:r>
        <w:t>in</w:t>
      </w:r>
      <w:r>
        <w:rPr>
          <w:spacing w:val="-4"/>
        </w:rPr>
        <w:t xml:space="preserve"> </w:t>
      </w:r>
      <w:r>
        <w:t>response</w:t>
      </w:r>
      <w:r>
        <w:rPr>
          <w:spacing w:val="-7"/>
        </w:rPr>
        <w:t xml:space="preserve"> </w:t>
      </w:r>
      <w:r>
        <w:t>to</w:t>
      </w:r>
      <w:r>
        <w:rPr>
          <w:spacing w:val="-4"/>
        </w:rPr>
        <w:t xml:space="preserve"> </w:t>
      </w:r>
      <w:r>
        <w:t>this</w:t>
      </w:r>
      <w:r>
        <w:rPr>
          <w:spacing w:val="-3"/>
        </w:rPr>
        <w:t xml:space="preserve"> </w:t>
      </w:r>
      <w:r>
        <w:rPr>
          <w:spacing w:val="-2"/>
        </w:rPr>
        <w:t>comment.</w:t>
      </w:r>
    </w:p>
    <w:p w14:paraId="21AB16C5" w14:textId="77777777" w:rsidR="00FE7D60" w:rsidRDefault="00FE7D60">
      <w:pPr>
        <w:pStyle w:val="BodyText"/>
        <w:spacing w:before="9"/>
        <w:rPr>
          <w:sz w:val="23"/>
        </w:rPr>
      </w:pPr>
    </w:p>
    <w:p w14:paraId="21AB16C6" w14:textId="77777777" w:rsidR="00FE7D60" w:rsidRDefault="008B77A0">
      <w:pPr>
        <w:pStyle w:val="BodyText"/>
        <w:ind w:left="2606" w:right="2364" w:firstLine="390"/>
      </w:pPr>
      <w:r>
        <w:t>Summary of Statement of Consideration and Action</w:t>
      </w:r>
      <w:r>
        <w:rPr>
          <w:spacing w:val="-9"/>
        </w:rPr>
        <w:t xml:space="preserve"> </w:t>
      </w:r>
      <w:r>
        <w:t>Taken</w:t>
      </w:r>
      <w:r>
        <w:rPr>
          <w:spacing w:val="-9"/>
        </w:rPr>
        <w:t xml:space="preserve"> </w:t>
      </w:r>
      <w:r>
        <w:t>by</w:t>
      </w:r>
      <w:r>
        <w:rPr>
          <w:spacing w:val="-9"/>
        </w:rPr>
        <w:t xml:space="preserve"> </w:t>
      </w:r>
      <w:r>
        <w:t>Promulgating</w:t>
      </w:r>
      <w:r>
        <w:rPr>
          <w:spacing w:val="-7"/>
        </w:rPr>
        <w:t xml:space="preserve"> </w:t>
      </w:r>
      <w:r>
        <w:t>Administrative</w:t>
      </w:r>
      <w:r>
        <w:rPr>
          <w:spacing w:val="-10"/>
        </w:rPr>
        <w:t xml:space="preserve"> </w:t>
      </w:r>
      <w:r>
        <w:t>Body</w:t>
      </w:r>
    </w:p>
    <w:p w14:paraId="21AB16C7" w14:textId="77777777" w:rsidR="00FE7D60" w:rsidRDefault="00FE7D60">
      <w:pPr>
        <w:pStyle w:val="BodyText"/>
        <w:spacing w:before="3"/>
      </w:pPr>
    </w:p>
    <w:p w14:paraId="21AB16C8" w14:textId="77777777" w:rsidR="00FE7D60" w:rsidRDefault="008B77A0">
      <w:pPr>
        <w:pStyle w:val="BodyText"/>
        <w:ind w:left="105"/>
      </w:pPr>
      <w:r>
        <w:t>The</w:t>
      </w:r>
      <w:r>
        <w:rPr>
          <w:spacing w:val="-6"/>
        </w:rPr>
        <w:t xml:space="preserve"> </w:t>
      </w:r>
      <w:r>
        <w:t>public</w:t>
      </w:r>
      <w:r>
        <w:rPr>
          <w:spacing w:val="-6"/>
        </w:rPr>
        <w:t xml:space="preserve"> </w:t>
      </w:r>
      <w:r>
        <w:t>hearing</w:t>
      </w:r>
      <w:r>
        <w:rPr>
          <w:spacing w:val="-4"/>
        </w:rPr>
        <w:t xml:space="preserve"> </w:t>
      </w:r>
      <w:r>
        <w:t>on</w:t>
      </w:r>
      <w:r>
        <w:rPr>
          <w:spacing w:val="-4"/>
        </w:rPr>
        <w:t xml:space="preserve"> </w:t>
      </w:r>
      <w:r>
        <w:t>this</w:t>
      </w:r>
      <w:r>
        <w:rPr>
          <w:spacing w:val="-3"/>
        </w:rPr>
        <w:t xml:space="preserve"> </w:t>
      </w:r>
      <w:r>
        <w:t>administrative</w:t>
      </w:r>
      <w:r>
        <w:rPr>
          <w:spacing w:val="-6"/>
        </w:rPr>
        <w:t xml:space="preserve"> </w:t>
      </w:r>
      <w:r>
        <w:t>regulation was</w:t>
      </w:r>
      <w:r>
        <w:rPr>
          <w:spacing w:val="-3"/>
        </w:rPr>
        <w:t xml:space="preserve"> </w:t>
      </w:r>
      <w:r>
        <w:t>canceled;</w:t>
      </w:r>
      <w:r>
        <w:rPr>
          <w:spacing w:val="-6"/>
        </w:rPr>
        <w:t xml:space="preserve"> </w:t>
      </w:r>
      <w:r>
        <w:t>however,</w:t>
      </w:r>
      <w:r>
        <w:rPr>
          <w:spacing w:val="-4"/>
        </w:rPr>
        <w:t xml:space="preserve"> </w:t>
      </w:r>
      <w:r>
        <w:t>two</w:t>
      </w:r>
      <w:r>
        <w:rPr>
          <w:spacing w:val="-4"/>
        </w:rPr>
        <w:t xml:space="preserve"> </w:t>
      </w:r>
      <w:r>
        <w:t>written</w:t>
      </w:r>
      <w:r>
        <w:rPr>
          <w:spacing w:val="-4"/>
        </w:rPr>
        <w:t xml:space="preserve"> </w:t>
      </w:r>
      <w:r>
        <w:t>comments</w:t>
      </w:r>
      <w:r>
        <w:rPr>
          <w:spacing w:val="-3"/>
        </w:rPr>
        <w:t xml:space="preserve"> </w:t>
      </w:r>
      <w:r>
        <w:t>were received. The Kentucky Department of Education responded to the comments and will not be amending the administrative regulation.</w:t>
      </w:r>
    </w:p>
    <w:sectPr w:rsidR="00FE7D60">
      <w:pgSz w:w="12240" w:h="15840"/>
      <w:pgMar w:top="1380" w:right="800" w:bottom="1200" w:left="116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16CE" w14:textId="77777777" w:rsidR="00000000" w:rsidRDefault="008B77A0">
      <w:r>
        <w:separator/>
      </w:r>
    </w:p>
  </w:endnote>
  <w:endnote w:type="continuationSeparator" w:id="0">
    <w:p w14:paraId="21AB16D0" w14:textId="77777777" w:rsidR="00000000" w:rsidRDefault="008B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16C9" w14:textId="687F9B63" w:rsidR="00FE7D60" w:rsidRDefault="008B77A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1AB16CA" wp14:editId="1334B7E6">
              <wp:simplePos x="0" y="0"/>
              <wp:positionH relativeFrom="page">
                <wp:posOffset>3926205</wp:posOffset>
              </wp:positionH>
              <wp:positionV relativeFrom="page">
                <wp:posOffset>9276715</wp:posOffset>
              </wp:positionV>
              <wp:extent cx="160020" cy="165100"/>
              <wp:effectExtent l="0" t="0" r="0" b="0"/>
              <wp:wrapNone/>
              <wp:docPr id="988754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16CB" w14:textId="77777777" w:rsidR="00FE7D60" w:rsidRDefault="008B77A0">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16CA" id="_x0000_t202" coordsize="21600,21600" o:spt="202" path="m,l,21600r21600,l21600,xe">
              <v:stroke joinstyle="miter"/>
              <v:path gradientshapeok="t" o:connecttype="rect"/>
            </v:shapetype>
            <v:shape id="docshape1" o:spid="_x0000_s1026" type="#_x0000_t202" style="position:absolute;margin-left:309.15pt;margin-top:730.45pt;width:12.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" filled="f" stroked="f">
              <v:textbox inset="0,0,0,0">
                <w:txbxContent>
                  <w:p w14:paraId="21AB16CB" w14:textId="77777777" w:rsidR="00FE7D60" w:rsidRDefault="008B77A0">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16CA" w14:textId="77777777" w:rsidR="00000000" w:rsidRDefault="008B77A0">
      <w:r>
        <w:separator/>
      </w:r>
    </w:p>
  </w:footnote>
  <w:footnote w:type="continuationSeparator" w:id="0">
    <w:p w14:paraId="21AB16CC" w14:textId="77777777" w:rsidR="00000000" w:rsidRDefault="008B7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D52CF"/>
    <w:multiLevelType w:val="hybridMultilevel"/>
    <w:tmpl w:val="28BE740C"/>
    <w:lvl w:ilvl="0" w:tplc="6682E492">
      <w:start w:val="1"/>
      <w:numFmt w:val="decimal"/>
      <w:lvlText w:val="(%1)"/>
      <w:lvlJc w:val="left"/>
      <w:pPr>
        <w:ind w:left="1186"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7668F94C">
      <w:start w:val="1"/>
      <w:numFmt w:val="lowerLetter"/>
      <w:lvlText w:val="(%2)"/>
      <w:lvlJc w:val="left"/>
      <w:pPr>
        <w:ind w:left="1186" w:hanging="36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2" w:tplc="93BE5978">
      <w:numFmt w:val="bullet"/>
      <w:lvlText w:val="•"/>
      <w:lvlJc w:val="left"/>
      <w:pPr>
        <w:ind w:left="3000" w:hanging="360"/>
      </w:pPr>
      <w:rPr>
        <w:rFonts w:hint="default"/>
        <w:lang w:val="en-US" w:eastAsia="en-US" w:bidi="ar-SA"/>
      </w:rPr>
    </w:lvl>
    <w:lvl w:ilvl="3" w:tplc="AB2663F8">
      <w:numFmt w:val="bullet"/>
      <w:lvlText w:val="•"/>
      <w:lvlJc w:val="left"/>
      <w:pPr>
        <w:ind w:left="3910" w:hanging="360"/>
      </w:pPr>
      <w:rPr>
        <w:rFonts w:hint="default"/>
        <w:lang w:val="en-US" w:eastAsia="en-US" w:bidi="ar-SA"/>
      </w:rPr>
    </w:lvl>
    <w:lvl w:ilvl="4" w:tplc="AF6E841A">
      <w:numFmt w:val="bullet"/>
      <w:lvlText w:val="•"/>
      <w:lvlJc w:val="left"/>
      <w:pPr>
        <w:ind w:left="4820" w:hanging="360"/>
      </w:pPr>
      <w:rPr>
        <w:rFonts w:hint="default"/>
        <w:lang w:val="en-US" w:eastAsia="en-US" w:bidi="ar-SA"/>
      </w:rPr>
    </w:lvl>
    <w:lvl w:ilvl="5" w:tplc="439C0B58">
      <w:numFmt w:val="bullet"/>
      <w:lvlText w:val="•"/>
      <w:lvlJc w:val="left"/>
      <w:pPr>
        <w:ind w:left="5730" w:hanging="360"/>
      </w:pPr>
      <w:rPr>
        <w:rFonts w:hint="default"/>
        <w:lang w:val="en-US" w:eastAsia="en-US" w:bidi="ar-SA"/>
      </w:rPr>
    </w:lvl>
    <w:lvl w:ilvl="6" w:tplc="8E7A8A7E">
      <w:numFmt w:val="bullet"/>
      <w:lvlText w:val="•"/>
      <w:lvlJc w:val="left"/>
      <w:pPr>
        <w:ind w:left="6640" w:hanging="360"/>
      </w:pPr>
      <w:rPr>
        <w:rFonts w:hint="default"/>
        <w:lang w:val="en-US" w:eastAsia="en-US" w:bidi="ar-SA"/>
      </w:rPr>
    </w:lvl>
    <w:lvl w:ilvl="7" w:tplc="6492C60E">
      <w:numFmt w:val="bullet"/>
      <w:lvlText w:val="•"/>
      <w:lvlJc w:val="left"/>
      <w:pPr>
        <w:ind w:left="7550" w:hanging="360"/>
      </w:pPr>
      <w:rPr>
        <w:rFonts w:hint="default"/>
        <w:lang w:val="en-US" w:eastAsia="en-US" w:bidi="ar-SA"/>
      </w:rPr>
    </w:lvl>
    <w:lvl w:ilvl="8" w:tplc="93BC3D1E">
      <w:numFmt w:val="bullet"/>
      <w:lvlText w:val="•"/>
      <w:lvlJc w:val="left"/>
      <w:pPr>
        <w:ind w:left="8460" w:hanging="360"/>
      </w:pPr>
      <w:rPr>
        <w:rFonts w:hint="default"/>
        <w:lang w:val="en-US" w:eastAsia="en-US" w:bidi="ar-SA"/>
      </w:rPr>
    </w:lvl>
  </w:abstractNum>
  <w:abstractNum w:abstractNumId="1" w15:restartNumberingAfterBreak="0">
    <w:nsid w:val="41EA5DBE"/>
    <w:multiLevelType w:val="hybridMultilevel"/>
    <w:tmpl w:val="2D521290"/>
    <w:lvl w:ilvl="0" w:tplc="898AE268">
      <w:start w:val="1"/>
      <w:numFmt w:val="upperRoman"/>
      <w:lvlText w:val="%1."/>
      <w:lvlJc w:val="left"/>
      <w:pPr>
        <w:ind w:left="826" w:hanging="721"/>
        <w:jc w:val="right"/>
      </w:pPr>
      <w:rPr>
        <w:rFonts w:ascii="Times New Roman" w:eastAsia="Times New Roman" w:hAnsi="Times New Roman" w:cs="Times New Roman" w:hint="default"/>
        <w:b w:val="0"/>
        <w:bCs w:val="0"/>
        <w:i w:val="0"/>
        <w:iCs w:val="0"/>
        <w:w w:val="99"/>
        <w:sz w:val="24"/>
        <w:szCs w:val="24"/>
        <w:lang w:val="en-US" w:eastAsia="en-US" w:bidi="ar-SA"/>
      </w:rPr>
    </w:lvl>
    <w:lvl w:ilvl="1" w:tplc="4A448D88">
      <w:numFmt w:val="bullet"/>
      <w:lvlText w:val="•"/>
      <w:lvlJc w:val="left"/>
      <w:pPr>
        <w:ind w:left="1766" w:hanging="721"/>
      </w:pPr>
      <w:rPr>
        <w:rFonts w:hint="default"/>
        <w:lang w:val="en-US" w:eastAsia="en-US" w:bidi="ar-SA"/>
      </w:rPr>
    </w:lvl>
    <w:lvl w:ilvl="2" w:tplc="30A6C916">
      <w:numFmt w:val="bullet"/>
      <w:lvlText w:val="•"/>
      <w:lvlJc w:val="left"/>
      <w:pPr>
        <w:ind w:left="2712" w:hanging="721"/>
      </w:pPr>
      <w:rPr>
        <w:rFonts w:hint="default"/>
        <w:lang w:val="en-US" w:eastAsia="en-US" w:bidi="ar-SA"/>
      </w:rPr>
    </w:lvl>
    <w:lvl w:ilvl="3" w:tplc="04DEFB48">
      <w:numFmt w:val="bullet"/>
      <w:lvlText w:val="•"/>
      <w:lvlJc w:val="left"/>
      <w:pPr>
        <w:ind w:left="3658" w:hanging="721"/>
      </w:pPr>
      <w:rPr>
        <w:rFonts w:hint="default"/>
        <w:lang w:val="en-US" w:eastAsia="en-US" w:bidi="ar-SA"/>
      </w:rPr>
    </w:lvl>
    <w:lvl w:ilvl="4" w:tplc="C19299C8">
      <w:numFmt w:val="bullet"/>
      <w:lvlText w:val="•"/>
      <w:lvlJc w:val="left"/>
      <w:pPr>
        <w:ind w:left="4604" w:hanging="721"/>
      </w:pPr>
      <w:rPr>
        <w:rFonts w:hint="default"/>
        <w:lang w:val="en-US" w:eastAsia="en-US" w:bidi="ar-SA"/>
      </w:rPr>
    </w:lvl>
    <w:lvl w:ilvl="5" w:tplc="183E4CD2">
      <w:numFmt w:val="bullet"/>
      <w:lvlText w:val="•"/>
      <w:lvlJc w:val="left"/>
      <w:pPr>
        <w:ind w:left="5550" w:hanging="721"/>
      </w:pPr>
      <w:rPr>
        <w:rFonts w:hint="default"/>
        <w:lang w:val="en-US" w:eastAsia="en-US" w:bidi="ar-SA"/>
      </w:rPr>
    </w:lvl>
    <w:lvl w:ilvl="6" w:tplc="79F66FA2">
      <w:numFmt w:val="bullet"/>
      <w:lvlText w:val="•"/>
      <w:lvlJc w:val="left"/>
      <w:pPr>
        <w:ind w:left="6496" w:hanging="721"/>
      </w:pPr>
      <w:rPr>
        <w:rFonts w:hint="default"/>
        <w:lang w:val="en-US" w:eastAsia="en-US" w:bidi="ar-SA"/>
      </w:rPr>
    </w:lvl>
    <w:lvl w:ilvl="7" w:tplc="0FC0A172">
      <w:numFmt w:val="bullet"/>
      <w:lvlText w:val="•"/>
      <w:lvlJc w:val="left"/>
      <w:pPr>
        <w:ind w:left="7442" w:hanging="721"/>
      </w:pPr>
      <w:rPr>
        <w:rFonts w:hint="default"/>
        <w:lang w:val="en-US" w:eastAsia="en-US" w:bidi="ar-SA"/>
      </w:rPr>
    </w:lvl>
    <w:lvl w:ilvl="8" w:tplc="0B68F606">
      <w:numFmt w:val="bullet"/>
      <w:lvlText w:val="•"/>
      <w:lvlJc w:val="left"/>
      <w:pPr>
        <w:ind w:left="8388" w:hanging="721"/>
      </w:pPr>
      <w:rPr>
        <w:rFonts w:hint="default"/>
        <w:lang w:val="en-US" w:eastAsia="en-US" w:bidi="ar-SA"/>
      </w:rPr>
    </w:lvl>
  </w:abstractNum>
  <w:num w:numId="1" w16cid:durableId="537011780">
    <w:abstractNumId w:val="0"/>
  </w:num>
  <w:num w:numId="2" w16cid:durableId="1120419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60"/>
    <w:rsid w:val="008B77A0"/>
    <w:rsid w:val="00FE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B1695"/>
  <w15:docId w15:val="{22A2B946-493F-4D0A-A878-5D6D7CB0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2023-04-12T04:00:00+00:00</Publication_x0020_Date>
    <Audience1 xmlns="3a62de7d-ba57-4f43-9dae-9623ba637be0"/>
    <_dlc_DocId xmlns="3a62de7d-ba57-4f43-9dae-9623ba637be0">KYED-104-414</_dlc_DocId>
    <_dlc_DocIdUrl xmlns="3a62de7d-ba57-4f43-9dae-9623ba637be0">
      <Url>https://www.education.ky.gov/districts/legal/_layouts/15/DocIdRedir.aspx?ID=KYED-104-414</Url>
      <Description>KYED-104-414</Description>
    </_dlc_DocIdUrl>
  </documentManagement>
</p:properties>
</file>

<file path=customXml/itemProps1.xml><?xml version="1.0" encoding="utf-8"?>
<ds:datastoreItem xmlns:ds="http://schemas.openxmlformats.org/officeDocument/2006/customXml" ds:itemID="{2ACD57AA-BF59-4451-8618-9D841FACC981}"/>
</file>

<file path=customXml/itemProps2.xml><?xml version="1.0" encoding="utf-8"?>
<ds:datastoreItem xmlns:ds="http://schemas.openxmlformats.org/officeDocument/2006/customXml" ds:itemID="{0C0D800A-18C5-496F-8A1D-8D9068DEE040}"/>
</file>

<file path=customXml/itemProps3.xml><?xml version="1.0" encoding="utf-8"?>
<ds:datastoreItem xmlns:ds="http://schemas.openxmlformats.org/officeDocument/2006/customXml" ds:itemID="{5089760F-FFF8-4757-AB12-9D8160DEE6F0}"/>
</file>

<file path=customXml/itemProps4.xml><?xml version="1.0" encoding="utf-8"?>
<ds:datastoreItem xmlns:ds="http://schemas.openxmlformats.org/officeDocument/2006/customXml" ds:itemID="{5C496286-BF61-43F1-B6EB-DE2202D7BFE7}"/>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6390</Characters>
  <Application>Microsoft Office Word</Application>
  <DocSecurity>0</DocSecurity>
  <Lines>53</Lines>
  <Paragraphs>14</Paragraphs>
  <ScaleCrop>false</ScaleCrop>
  <Company>Kentucky Department of Education</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Peace, Sarah - Office of Teaching and Learning</dc:creator>
  <cp:lastModifiedBy>Drury, Tina - Office of Legal Services</cp:lastModifiedBy>
  <cp:revision>2</cp:revision>
  <dcterms:created xsi:type="dcterms:W3CDTF">2023-04-12T15:15:00Z</dcterms:created>
  <dcterms:modified xsi:type="dcterms:W3CDTF">2023-04-12T15:15:00Z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Microsoft Word</vt:lpwstr>
  </property>
  <property fmtid="{D5CDD505-2E9C-101B-9397-08002B2CF9AE}" pid="4" name="LastSaved">
    <vt:filetime>2023-04-12T00:00:00Z</vt:filetime>
  </property>
  <property fmtid="{D5CDD505-2E9C-101B-9397-08002B2CF9AE}" pid="5" name="ContentTypeId">
    <vt:lpwstr>0x0101001BEB557DBE01834EAB47A683706DCD5B0074437C1E8307C34A9B3155EB41A434A0</vt:lpwstr>
  </property>
  <property fmtid="{D5CDD505-2E9C-101B-9397-08002B2CF9AE}" pid="6" name="_dlc_DocIdItemGuid">
    <vt:lpwstr>1bddfe70-d456-4753-8603-e75c6cace4f6</vt:lpwstr>
  </property>
</Properties>
</file>